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u w:val="single"/>
          <w:lang w:val="sr-Cyrl-RS"/>
        </w:rPr>
      </w:pPr>
      <w:bookmarkStart w:id="0" w:name="_GoBack"/>
      <w:bookmarkEnd w:id="0"/>
      <w:r>
        <w:rPr>
          <w:b/>
          <w:u w:val="single"/>
          <w:lang w:val="sr-Cyrl-RS"/>
        </w:rPr>
        <w:t>ИЗВЕШТАЈ О РАДУ РЕГИОНАЛНОГ ЦЕНТРА ЗА ПРОФЕСИОНАЛНИ РАЗВОЈ ЗАПОСЛЕНИХ У ОБРАЗОВАЊУ СМЕДЕРЕВО ЗА 20</w:t>
      </w:r>
      <w:r>
        <w:rPr>
          <w:b/>
          <w:u w:val="single"/>
        </w:rPr>
        <w:t>2</w:t>
      </w:r>
      <w:r>
        <w:rPr>
          <w:b/>
          <w:u w:val="single"/>
          <w:lang w:val="sr-Cyrl-RS"/>
        </w:rPr>
        <w:t>1. ГОДИНУ</w:t>
      </w:r>
    </w:p>
    <w:p>
      <w:pPr>
        <w:jc w:val="center"/>
        <w:rPr>
          <w:lang w:val="sr-Latn-CS"/>
        </w:rPr>
      </w:pPr>
    </w:p>
    <w:p>
      <w:pPr>
        <w:rPr>
          <w:lang w:val="sr-Latn-CS"/>
        </w:rPr>
      </w:pPr>
    </w:p>
    <w:p>
      <w:pPr>
        <w:rPr>
          <w:lang w:val="sr-Latn-CS"/>
        </w:rPr>
      </w:pPr>
    </w:p>
    <w:p>
      <w:pPr>
        <w:rPr>
          <w:b/>
          <w:lang w:val="sr-Cyrl-RS"/>
        </w:rPr>
      </w:pPr>
    </w:p>
    <w:p>
      <w:pPr>
        <w:numPr>
          <w:ilvl w:val="0"/>
          <w:numId w:val="1"/>
        </w:numPr>
        <w:rPr>
          <w:b/>
          <w:u w:val="single"/>
          <w:lang w:val="sr-Cyrl-RS"/>
        </w:rPr>
      </w:pPr>
      <w:r>
        <w:rPr>
          <w:b/>
          <w:u w:val="single"/>
          <w:lang w:val="sr-Cyrl-RS"/>
        </w:rPr>
        <w:t>РЕСУРСИ И КАДРОВСКА СТРУКТУРА УСТАНОВЕ</w:t>
      </w:r>
    </w:p>
    <w:p>
      <w:pPr>
        <w:rPr>
          <w:lang w:val="sr-Cyrl-RS"/>
        </w:rPr>
      </w:pPr>
    </w:p>
    <w:p>
      <w:pPr>
        <w:jc w:val="both"/>
        <w:rPr>
          <w:lang w:val="sr-Cyrl-RS"/>
        </w:rPr>
      </w:pPr>
      <w:r>
        <w:rPr>
          <w:lang w:val="sr-Cyrl-RS"/>
        </w:rPr>
        <w:tab/>
      </w:r>
      <w:r>
        <w:rPr>
          <w:lang w:val="sr-Cyrl-RS"/>
        </w:rPr>
        <w:t>На основу међудржавног уговора којим се прописује унапређење и сарадња у области образовања и васпитања, потписаног између Владе Републике Србије и Владе Швајцарске  Конфедерације, Град Смедерево је 2009. године донео Одлуку о оснивању Регионалног центра за професионални развој запослених у образовању Смедерево. У овом моменту Смедерево је један од 14 градова, односно општина који има основану ову установу која је у досадашњем периоду забележила видне резултате у континуираном стицању, проширивању и продубљивању знања и вештина које су релевантне за подизање квалитита наставе. Стручно усавршавање запослених у образовању постао је неизоставан сегмент целоживотног учења и унапређења квалитета рада наставника, професора, учитеља, стручних сарадника и директора.</w:t>
      </w:r>
    </w:p>
    <w:p>
      <w:pPr>
        <w:jc w:val="both"/>
        <w:rPr>
          <w:lang w:val="sr-Cyrl-RS"/>
        </w:rPr>
      </w:pPr>
      <w:r>
        <w:rPr>
          <w:lang w:val="sr-Cyrl-RS"/>
        </w:rPr>
        <w:tab/>
      </w:r>
      <w:r>
        <w:rPr>
          <w:lang w:val="sr-Cyrl-RS"/>
        </w:rPr>
        <w:t xml:space="preserve">Регионални центар за професионални развој запослених у образовању Смедерево је установа у којој се организују различити облици обука (семинари, трибине, дискусије, конгреси, презентације, округли столови и други видови едукације) не само за просветне раднике са територије Града Смедерева и околних градова, него и за запослене у другим делатностима- социјалне раднике, раднике локалних самоуправа, здравствене раднике и друге. </w:t>
      </w:r>
    </w:p>
    <w:p>
      <w:pPr>
        <w:jc w:val="both"/>
        <w:rPr>
          <w:lang w:val="sr-Cyrl-RS"/>
        </w:rPr>
      </w:pPr>
      <w:r>
        <w:rPr>
          <w:lang w:val="sr-Cyrl-RS"/>
        </w:rPr>
        <w:tab/>
      </w:r>
      <w:r>
        <w:rPr>
          <w:lang w:val="sr-Cyrl-RS"/>
        </w:rPr>
        <w:t>У оквиру Регионалног центра постоји и Научни клуб Смедерево основан 2016. године са основним циљем децентрализације науке, односно шире популаризације и промоције научно-истраживачких достигнућа у Смедереву, али и околним градовима. Научни клуб Смедерево је место где ученици, наставници и научни радници изводе експерименте, организују радионици и трибине кaко би кроз стицање нових знања популарисали науку и истраживање.</w:t>
      </w:r>
    </w:p>
    <w:p>
      <w:pPr>
        <w:jc w:val="both"/>
        <w:rPr>
          <w:lang w:val="sr-Cyrl-RS"/>
        </w:rPr>
      </w:pPr>
      <w:r>
        <w:rPr>
          <w:lang w:val="sr-Cyrl-RS"/>
        </w:rPr>
        <w:tab/>
      </w:r>
      <w:r>
        <w:rPr>
          <w:lang w:val="sr-Cyrl-RS"/>
        </w:rPr>
        <w:t>У Регионалном центру Смедерево стратегија стручног усавршавања у региону примењује се и спроводи у складу са стратегијом коју је развио Центар за професионални развој Завода за унапређивање образовања и васпитања  (ЗУОВ), а у сарадњи са другим битним чиниоцима у образовању (као што је Завод за вредновање квалитета образовања и васпитања (ЗВКОВ), Центар за промоцију науке, Министарство просвете, науке и технолошког развоја Републике Србије, Школском управом Пожаревца и другим школским управама, сарадњу са свим образовно-васпитним установама  на територији града Смедерева,  другим центрима за стручно усавршавање, као и другим установама из области културе и других делатности). Циљеве и задатке и у 20</w:t>
      </w:r>
      <w:r>
        <w:t>2</w:t>
      </w:r>
      <w:r>
        <w:rPr>
          <w:lang w:val="sr-Cyrl-RS"/>
        </w:rPr>
        <w:t>1. години Регионални центар Смедерево је остваривао и у оквиру Мреже регионалних центара и центара за стручно усавршавање Србије чији је члан у оквиру Мреже која је бројала 13 чланова током 20</w:t>
      </w:r>
      <w:r>
        <w:t>2</w:t>
      </w:r>
      <w:r>
        <w:rPr>
          <w:lang w:val="sr-Cyrl-RS"/>
        </w:rPr>
        <w:t>1. године која је оформљена у складу са стратешким опредељењима и принципима децентрализације, једнакости и доступности стручног усавршавања просветних радника у Републици Србији, где су поред Смедерева и: Кикинда, Нови Пазар, Крагујевац, Ниш, Крушевац, Чачак, Ужице, Лесковац, Шабац, Кањижа , Књажевац  и Сомбор.</w:t>
      </w:r>
    </w:p>
    <w:p>
      <w:pPr>
        <w:jc w:val="both"/>
        <w:rPr>
          <w:lang w:val="sr-Cyrl-RS"/>
        </w:rPr>
      </w:pPr>
      <w:r>
        <w:rPr>
          <w:lang w:val="sr-Cyrl-RS"/>
        </w:rPr>
        <w:tab/>
      </w:r>
      <w:r>
        <w:rPr>
          <w:lang w:val="sr-Cyrl-RS"/>
        </w:rPr>
        <w:t>Услове рада у 2021. години у знатној мери су диктирали услови проузроковани пандемијом Ковида 19 и новонастала ситуација се пратила и мењала услове рада у складу са прописаним мерама донетим од стране државних и локалних органа, уз напомену да је установа све време радила, а услове прилагођавала прописима који су били у примени током протекле године ( у одређеном временском периоду било је  одлагање и отказивање  већих скупова, прелазак на он-лајн систем и др.)</w:t>
      </w:r>
    </w:p>
    <w:p>
      <w:pPr>
        <w:jc w:val="both"/>
        <w:rPr>
          <w:lang w:val="sr-Cyrl-RS"/>
        </w:rPr>
      </w:pPr>
      <w:r>
        <w:rPr>
          <w:lang w:val="sr-Cyrl-RS"/>
        </w:rPr>
        <w:tab/>
      </w:r>
      <w:r>
        <w:rPr>
          <w:lang w:val="sr-Cyrl-RS"/>
        </w:rPr>
        <w:t xml:space="preserve">Начин рада прилагођава се потребама друштва и привреде у целини, условима рада  уз примену измењених околности ради спречавања ширења епидемије  заразне болести Ковид 19 током   2021. године, што је све утицало на смањене активности и нижу реализацију годишњег плана и програма Центра. </w:t>
      </w:r>
    </w:p>
    <w:p>
      <w:pPr>
        <w:ind w:firstLine="720"/>
        <w:jc w:val="both"/>
        <w:rPr>
          <w:lang w:val="sr-Cyrl-RS"/>
        </w:rPr>
      </w:pPr>
      <w:r>
        <w:rPr>
          <w:lang w:val="sr-Cyrl-RS"/>
        </w:rPr>
        <w:t>Реализација плана и програма рада Регионалног центра за професионални развој запослених у образовању Смедерево и у 2021. години  утврђене су актом о оснивању установе, те су и конкретне активности тако и реализоване, иако у знатно мањем обиму, изузев услуга смештаја које су остварене у највећем обиму од како је Центар отворио смештајни простор.</w:t>
      </w:r>
    </w:p>
    <w:p>
      <w:pPr>
        <w:jc w:val="both"/>
        <w:rPr>
          <w:lang w:val="sr-Cyrl-RS"/>
        </w:rPr>
      </w:pPr>
      <w:r>
        <w:rPr>
          <w:lang w:val="sr-Cyrl-RS"/>
        </w:rPr>
        <w:tab/>
      </w:r>
      <w:r>
        <w:rPr>
          <w:lang w:val="sr-Cyrl-RS"/>
        </w:rPr>
        <w:t>Након две фазе адаптације простора на другом и трећем спрату дела зграде некадашњег „Монопола“ на адреси Горанска бб у Смедереву, добијена је веома функционална целина површине преко 1200 квадратних метара у којој су изузетни услови за организацију различитих облика стручног усавршавања и целодневни боравак гостију. На другом спрату, где се налази први ниво Регионалног центра, налази се савршено опремљен простор који се простире на 600 квадратних метара- поред канцеларијског простора ту се налази конгресна сала са 150 места (климатизована, са уграђеним озвучењем, интернет конекцијом, 2 пројектора и интерактивном таблом), 3 учионице са 20-35 места и рачунарска учионица са 20 умрежених рачунара, које су на располагању корисницима услуга за организацију семинара, трибина, презентација, округлих столова и друго.</w:t>
      </w:r>
    </w:p>
    <w:p>
      <w:pPr>
        <w:jc w:val="both"/>
        <w:rPr>
          <w:lang w:val="sr-Cyrl-RS"/>
        </w:rPr>
      </w:pPr>
      <w:r>
        <w:rPr>
          <w:lang w:val="sr-Cyrl-RS"/>
        </w:rPr>
        <w:tab/>
      </w:r>
      <w:r>
        <w:rPr>
          <w:lang w:val="sr-Cyrl-RS"/>
        </w:rPr>
        <w:t>На трећем спрату, где је други ниво Регионалног центра за професионални развој запослених у образовању, налази се трпезаријски простор капацитета до 50 места и смештајни капацитети којима су створени одлични услови за смештај, исхрану и целодневни боравак гостију у Смедереву. У климатизованом простору, опремљеном кабловском телевизијом, видео-надзором и интернет-конекцијом Регионални центар располаже са 40 кревета у трокреветним, четворокреветним и петокреветним собама и апартманима.</w:t>
      </w:r>
    </w:p>
    <w:p>
      <w:pPr>
        <w:jc w:val="both"/>
        <w:rPr>
          <w:lang w:val="sr-Cyrl-RS"/>
        </w:rPr>
      </w:pPr>
      <w:r>
        <w:rPr>
          <w:lang w:val="sr-Cyrl-RS"/>
        </w:rPr>
        <w:tab/>
      </w:r>
      <w:r>
        <w:rPr>
          <w:lang w:val="sr-Cyrl-RS"/>
        </w:rPr>
        <w:t>Током 2021. године у РЦ Смедерево, поред директора који има уговор на одређено време, укупно је било запослено на неодређено  време 9 радника, док је   од 1. фебруара 2019. године једна радница  упућена на рад код другог послодавца (Центар за културу) и истој мирује радно место у Регионалном центру, док је због повећаног броја на смештају, које је у континуитету био и по неколико месеци за поједине групе, на одређено време  примљена је  једна радница са ССС на месту економа, а у складу са важећом систематизацијом радних места.</w:t>
      </w:r>
    </w:p>
    <w:p>
      <w:pPr>
        <w:jc w:val="both"/>
        <w:rPr>
          <w:lang w:val="sr-Cyrl-RS"/>
        </w:rPr>
      </w:pPr>
      <w:r>
        <w:rPr>
          <w:lang w:val="sr-Cyrl-RS"/>
        </w:rPr>
        <w:tab/>
      </w:r>
      <w:r>
        <w:rPr>
          <w:lang w:val="sr-Cyrl-RS"/>
        </w:rPr>
        <w:t>Поред ВД директора који је постављено лице  са ВСС, по систематизацији  структура  кадрова у РЦ Смедерево у 2021. години : 3 са ВСС, 4 са ВС, 2 са ССС и 1 са НС. Једна радница ЈП Градско стамбено обавља услуге одржавања у Регионалном центру. Одлуком о максималном броју запослених на неодређено време за сваки организациони облик у систему локалне самоуправе Града Смедерева за 2021. годину предвиђено је да Регионални центар за професионални развој запослених у образовању има 11 запослених на неодређено време, а највећи недостатак у кадровском погледу је недостатак лица које обавља послове на техничком и информатичком одржавању ресурса, јер је запослени који је обављао послове саветника-координатора информационих система, добивши ново радно место у Центру за промоцију науке у Београду, раскинуо уговор о раду са Регионалним центром за професионални развој запослених, а попуна упражњеног места   није решавана, док је у 2020. години судским решењем на рад враћена једна радница са ВС преузетих радника припојеног Радничког универзитета (што је условило и измену акта и правилника о систематизацији радних места у Регионалном центру).</w:t>
      </w:r>
    </w:p>
    <w:p>
      <w:pPr>
        <w:jc w:val="both"/>
        <w:rPr>
          <w:lang w:val="sr-Cyrl-RS"/>
        </w:rPr>
      </w:pPr>
      <w:r>
        <w:rPr>
          <w:lang w:val="sr-Cyrl-RS"/>
        </w:rPr>
        <w:tab/>
      </w:r>
      <w:r>
        <w:rPr>
          <w:lang w:val="sr-Cyrl-RS"/>
        </w:rPr>
        <w:t>Током 2021.године иновиран је и урађен нов Акт о процени ризика на радним местима и у радној околини, а како је Регионални центар за професионални развој запослених у образовању Смедерево био у плану за 2021. годину  за инспекцијски надзор од стране Сектора за ванредне ситуације, од стране референтне установе са лиценцом током априла  месеца 2021. године уз  подршку запослених из Центра урађена је Процена ризика од катастрофа  на коју је Решењем МУП-а, Сектора за ванредне ситуације дата сагласност, као и на касније урађен План заштите и спасавања за установу Регионални центар  током маја месеца, те извршеним инспекцијским надзором  током јуна месеца није било примедби.</w:t>
      </w:r>
    </w:p>
    <w:p>
      <w:pPr>
        <w:jc w:val="both"/>
        <w:rPr>
          <w:lang w:val="sr-Cyrl-RS"/>
        </w:rPr>
      </w:pPr>
      <w:r>
        <w:rPr>
          <w:lang w:val="sr-Cyrl-RS"/>
        </w:rPr>
        <w:tab/>
      </w:r>
      <w:r>
        <w:rPr>
          <w:lang w:val="sr-Cyrl-RS"/>
        </w:rPr>
        <w:t xml:space="preserve">Редован инспекцијски надзор током 2021. године вршила је и просветна инспекција, а са записником о извршеном инспекцијском надзором упознат је Управни одбор, као и Оснивач, те је један број примедби које су наведене у записнику са датим роковима одазивним писмом и аргументоване. У поступку инспекцијског надзора, ради утврђивања чињеница, а у циљу процене степена ризика по законом и другим прописом заштићена добра, права и интереса који могу настати из поступања надзираног субјекта примењена је контролна листа. Према садржини контролних листи и чињеницама у њима процењен је ризик пословања- низак (85%). </w:t>
      </w:r>
    </w:p>
    <w:p>
      <w:pPr>
        <w:jc w:val="both"/>
        <w:rPr>
          <w:lang w:val="sr-Cyrl-RS"/>
        </w:rPr>
      </w:pPr>
    </w:p>
    <w:p>
      <w:pPr>
        <w:ind w:left="720"/>
        <w:jc w:val="both"/>
        <w:rPr>
          <w:lang w:val="sr-Cyrl-RS"/>
        </w:rPr>
      </w:pPr>
    </w:p>
    <w:p>
      <w:pPr>
        <w:pStyle w:val="12"/>
        <w:numPr>
          <w:ilvl w:val="0"/>
          <w:numId w:val="1"/>
        </w:numPr>
        <w:jc w:val="both"/>
        <w:rPr>
          <w:b/>
        </w:rPr>
      </w:pPr>
      <w:r>
        <w:rPr>
          <w:b/>
          <w:lang w:val="sr-Cyrl-RS"/>
        </w:rPr>
        <w:t>РЕАЛИЗАЦИЈА ФИНАНСИЈСКОГ ПЛАНА РЕГИОНАЛНОГ ЦЕНТРА ЗА ПРОФЕСИОНАЛНИ РАЗВОЈ ЗАПОСЛЕНИХ У ОБРАЗОВАЊУ СМЕДЕРЕВО ЗА 2021. годину</w:t>
      </w:r>
    </w:p>
    <w:p>
      <w:pPr>
        <w:jc w:val="both"/>
      </w:pPr>
    </w:p>
    <w:p>
      <w:pPr>
        <w:jc w:val="both"/>
        <w:rPr>
          <w:lang w:val="sr-Cyrl-RS"/>
        </w:rPr>
      </w:pPr>
      <w:r>
        <w:rPr>
          <w:bCs/>
          <w:iCs/>
          <w:lang w:val="ru-RU"/>
        </w:rPr>
        <w:t xml:space="preserve">ГЛАВА 4.2 - РЕГИОНАЛНИ ЦЕНТАР ЗА ПРОФЕСИОНАЛНИ РАЗВОЈ ЗАПОСЛЕНИХ У ОБРАЗОВАЊУ </w:t>
      </w:r>
      <w:r>
        <w:rPr>
          <w:rStyle w:val="5"/>
          <w:i w:val="0"/>
        </w:rPr>
        <w:t>Одлуком о буџету града Смедерева за 20</w:t>
      </w:r>
      <w:r>
        <w:rPr>
          <w:rStyle w:val="5"/>
          <w:i w:val="0"/>
          <w:lang w:val="sr-Cyrl-CS"/>
        </w:rPr>
        <w:t>21</w:t>
      </w:r>
      <w:r>
        <w:rPr>
          <w:rStyle w:val="5"/>
          <w:i w:val="0"/>
        </w:rPr>
        <w:t xml:space="preserve">. годину („Службени лист града Смедерева“, број </w:t>
      </w:r>
      <w:r>
        <w:rPr>
          <w:lang w:val="sr-Cyrl-CS"/>
        </w:rPr>
        <w:t xml:space="preserve">18/2020 од 18. децембра 2020. год. </w:t>
      </w:r>
      <w:r>
        <w:rPr>
          <w:lang w:val="sr-Cyrl-RS"/>
        </w:rPr>
        <w:t>те каснијим ребалансом Буџета објављених у Службеном листу града Смедерева</w:t>
      </w:r>
      <w:r>
        <w:t xml:space="preserve"> </w:t>
      </w:r>
      <w:r>
        <w:rPr>
          <w:lang w:val="sr-Cyrl-CS"/>
        </w:rPr>
        <w:t xml:space="preserve">5/2021 од 9. јула 2021. год. </w:t>
      </w:r>
      <w:r>
        <w:t xml:space="preserve"> и </w:t>
      </w:r>
      <w:r>
        <w:rPr>
          <w:lang w:val="sr-Cyrl-RS"/>
        </w:rPr>
        <w:t>6</w:t>
      </w:r>
      <w:r>
        <w:t>/202</w:t>
      </w:r>
      <w:r>
        <w:rPr>
          <w:lang w:val="sr-Cyrl-RS"/>
        </w:rPr>
        <w:t>1 од 8. октобра 2021. год.</w:t>
      </w:r>
      <w:r>
        <w:rPr>
          <w:lang w:val="sr-Cyrl-CS"/>
        </w:rPr>
        <w:t xml:space="preserve">) планирана су средства у износу од </w:t>
      </w:r>
      <w:r>
        <w:rPr>
          <w:bCs/>
          <w:lang w:val="sr-Cyrl-CS"/>
        </w:rPr>
        <w:t>20.152.140,00</w:t>
      </w:r>
      <w:r>
        <w:rPr>
          <w:lang w:val="sr-Cyrl-CS"/>
        </w:rPr>
        <w:t xml:space="preserve"> динара. У периоду јануар</w:t>
      </w:r>
      <w:r>
        <w:t xml:space="preserve"> </w:t>
      </w:r>
      <w:r>
        <w:rPr>
          <w:lang w:val="sr-Cyrl-CS"/>
        </w:rPr>
        <w:t>–</w:t>
      </w:r>
      <w:r>
        <w:t xml:space="preserve"> </w:t>
      </w:r>
      <w:r>
        <w:rPr>
          <w:lang w:val="sr-Cyrl-CS"/>
        </w:rPr>
        <w:t>децембар 2021</w:t>
      </w:r>
      <w:r>
        <w:t>.</w:t>
      </w:r>
      <w:r>
        <w:rPr>
          <w:lang w:val="sr-Cyrl-CS"/>
        </w:rPr>
        <w:t> године утрошена су средства у износу од </w:t>
      </w:r>
      <w:r>
        <w:rPr>
          <w:bCs/>
          <w:lang w:val="sr-Cyrl-CS"/>
        </w:rPr>
        <w:t>16.366.616,00</w:t>
      </w:r>
      <w:r>
        <w:rPr>
          <w:lang w:val="sr-Cyrl-CS"/>
        </w:rPr>
        <w:t> динара, односно </w:t>
      </w:r>
      <w:r>
        <w:rPr>
          <w:bCs/>
          <w:lang w:val="sr-Cyrl-CS"/>
        </w:rPr>
        <w:t>81,2%</w:t>
      </w:r>
      <w:r>
        <w:rPr>
          <w:lang w:val="sr-Cyrl-CS"/>
        </w:rPr>
        <w:t> од годишњег плана</w:t>
      </w:r>
      <w:r>
        <w:t>.</w:t>
      </w:r>
    </w:p>
    <w:p>
      <w:pPr>
        <w:pStyle w:val="12"/>
        <w:jc w:val="both"/>
        <w:rPr>
          <w:b/>
          <w:u w:val="single"/>
        </w:rPr>
      </w:pPr>
    </w:p>
    <w:p>
      <w:pPr>
        <w:rPr>
          <w:sz w:val="20"/>
          <w:szCs w:val="20"/>
        </w:rPr>
      </w:pPr>
    </w:p>
    <w:tbl>
      <w:tblPr>
        <w:tblStyle w:val="3"/>
        <w:tblW w:w="102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852"/>
        <w:gridCol w:w="1038"/>
        <w:gridCol w:w="2221"/>
        <w:gridCol w:w="1985"/>
        <w:gridCol w:w="1559"/>
        <w:gridCol w:w="143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118" w:hRule="exact"/>
        </w:trPr>
        <w:tc>
          <w:tcPr>
            <w:tcW w:w="852" w:type="dxa"/>
            <w:shd w:val="clear" w:color="auto" w:fill="FFFFFF"/>
          </w:tcPr>
          <w:p>
            <w:pPr>
              <w:rPr>
                <w:spacing w:val="-11"/>
                <w:sz w:val="20"/>
                <w:szCs w:val="20"/>
                <w:lang w:val="sr-Cyrl-CS"/>
              </w:rPr>
            </w:pPr>
          </w:p>
          <w:p>
            <w:pPr>
              <w:rPr>
                <w:sz w:val="20"/>
                <w:szCs w:val="20"/>
              </w:rPr>
            </w:pPr>
            <w:r>
              <w:rPr>
                <w:spacing w:val="-11"/>
                <w:sz w:val="20"/>
                <w:szCs w:val="20"/>
                <w:lang w:val="sr-Cyrl-CS"/>
              </w:rPr>
              <w:t xml:space="preserve">Шифра </w:t>
            </w:r>
            <w:r>
              <w:rPr>
                <w:spacing w:val="-7"/>
                <w:sz w:val="20"/>
                <w:szCs w:val="20"/>
                <w:lang w:val="sr-Cyrl-CS"/>
              </w:rPr>
              <w:t>програма</w:t>
            </w:r>
          </w:p>
        </w:tc>
        <w:tc>
          <w:tcPr>
            <w:tcW w:w="1038" w:type="dxa"/>
            <w:shd w:val="clear" w:color="auto" w:fill="FFFFFF"/>
          </w:tcPr>
          <w:p>
            <w:pPr>
              <w:rPr>
                <w:sz w:val="20"/>
                <w:szCs w:val="20"/>
              </w:rPr>
            </w:pPr>
            <w:r>
              <w:rPr>
                <w:spacing w:val="-11"/>
                <w:sz w:val="20"/>
                <w:szCs w:val="20"/>
                <w:lang w:val="sr-Cyrl-CS"/>
              </w:rPr>
              <w:t xml:space="preserve">Шифра </w:t>
            </w:r>
            <w:r>
              <w:rPr>
                <w:spacing w:val="-5"/>
                <w:sz w:val="20"/>
                <w:szCs w:val="20"/>
                <w:lang w:val="sr-Cyrl-CS"/>
              </w:rPr>
              <w:t xml:space="preserve">програмске </w:t>
            </w:r>
            <w:r>
              <w:rPr>
                <w:spacing w:val="-6"/>
                <w:sz w:val="20"/>
                <w:szCs w:val="20"/>
                <w:lang w:val="sr-Cyrl-CS"/>
              </w:rPr>
              <w:t xml:space="preserve">активности </w:t>
            </w:r>
            <w:r>
              <w:rPr>
                <w:spacing w:val="-1"/>
                <w:sz w:val="20"/>
                <w:szCs w:val="20"/>
                <w:lang w:val="sr-Cyrl-CS"/>
              </w:rPr>
              <w:t>/пројекта</w:t>
            </w:r>
          </w:p>
        </w:tc>
        <w:tc>
          <w:tcPr>
            <w:tcW w:w="2221" w:type="dxa"/>
            <w:shd w:val="clear" w:color="auto" w:fill="FFFFFF"/>
          </w:tcPr>
          <w:p>
            <w:pPr>
              <w:rPr>
                <w:spacing w:val="-7"/>
                <w:sz w:val="20"/>
                <w:szCs w:val="20"/>
                <w:lang w:val="sr-Cyrl-CS"/>
              </w:rPr>
            </w:pPr>
          </w:p>
          <w:p>
            <w:pPr>
              <w:rPr>
                <w:spacing w:val="-7"/>
                <w:sz w:val="20"/>
                <w:szCs w:val="20"/>
                <w:lang w:val="sr-Cyrl-CS"/>
              </w:rPr>
            </w:pPr>
            <w:r>
              <w:rPr>
                <w:spacing w:val="-7"/>
                <w:sz w:val="20"/>
                <w:szCs w:val="20"/>
                <w:lang w:val="sr-Cyrl-CS"/>
              </w:rPr>
              <w:t>Назив програма / програмске активности / пројекта</w:t>
            </w:r>
          </w:p>
        </w:tc>
        <w:tc>
          <w:tcPr>
            <w:tcW w:w="1985" w:type="dxa"/>
            <w:shd w:val="clear" w:color="auto" w:fill="FFFFFF"/>
          </w:tcPr>
          <w:p>
            <w:pPr>
              <w:rPr>
                <w:spacing w:val="-7"/>
                <w:sz w:val="20"/>
                <w:szCs w:val="20"/>
                <w:lang w:val="sr-Cyrl-CS"/>
              </w:rPr>
            </w:pPr>
          </w:p>
          <w:p>
            <w:pPr>
              <w:rPr>
                <w:sz w:val="20"/>
                <w:szCs w:val="20"/>
              </w:rPr>
            </w:pPr>
            <w:r>
              <w:rPr>
                <w:spacing w:val="-7"/>
                <w:sz w:val="20"/>
                <w:szCs w:val="20"/>
                <w:lang w:val="sr-Cyrl-CS"/>
              </w:rPr>
              <w:t xml:space="preserve">Усвојен </w:t>
            </w:r>
            <w:r>
              <w:rPr>
                <w:spacing w:val="-9"/>
                <w:sz w:val="20"/>
                <w:szCs w:val="20"/>
                <w:lang w:val="sr-Cyrl-CS"/>
              </w:rPr>
              <w:t xml:space="preserve">буџет за </w:t>
            </w:r>
            <w:r>
              <w:rPr>
                <w:spacing w:val="-13"/>
                <w:sz w:val="20"/>
                <w:szCs w:val="20"/>
                <w:lang w:val="sr-Cyrl-CS"/>
              </w:rPr>
              <w:t>20</w:t>
            </w:r>
            <w:r>
              <w:rPr>
                <w:spacing w:val="-13"/>
                <w:sz w:val="20"/>
                <w:szCs w:val="20"/>
              </w:rPr>
              <w:t>2</w:t>
            </w:r>
            <w:r>
              <w:rPr>
                <w:spacing w:val="-13"/>
                <w:sz w:val="20"/>
                <w:szCs w:val="20"/>
                <w:lang w:val="sr-Cyrl-RS"/>
              </w:rPr>
              <w:t>1</w:t>
            </w:r>
            <w:r>
              <w:rPr>
                <w:spacing w:val="-13"/>
                <w:sz w:val="20"/>
                <w:szCs w:val="20"/>
                <w:lang w:val="sr-Cyrl-CS"/>
              </w:rPr>
              <w:t>.</w:t>
            </w:r>
            <w:r>
              <w:rPr>
                <w:spacing w:val="-13"/>
                <w:sz w:val="20"/>
                <w:szCs w:val="20"/>
              </w:rPr>
              <w:t>годину</w:t>
            </w:r>
          </w:p>
        </w:tc>
        <w:tc>
          <w:tcPr>
            <w:tcW w:w="1559" w:type="dxa"/>
            <w:shd w:val="clear" w:color="auto" w:fill="FFFFFF"/>
          </w:tcPr>
          <w:p>
            <w:pPr>
              <w:rPr>
                <w:spacing w:val="-6"/>
                <w:sz w:val="20"/>
                <w:szCs w:val="20"/>
                <w:lang w:val="sr-Cyrl-CS"/>
              </w:rPr>
            </w:pPr>
          </w:p>
          <w:p>
            <w:pPr>
              <w:rPr>
                <w:sz w:val="20"/>
                <w:szCs w:val="20"/>
                <w:lang w:val="sr-Cyrl-RS"/>
              </w:rPr>
            </w:pPr>
            <w:r>
              <w:rPr>
                <w:spacing w:val="-6"/>
                <w:sz w:val="20"/>
                <w:szCs w:val="20"/>
                <w:lang w:val="sr-Cyrl-CS"/>
              </w:rPr>
              <w:t xml:space="preserve">Текући буџет </w:t>
            </w:r>
            <w:r>
              <w:rPr>
                <w:spacing w:val="-12"/>
                <w:sz w:val="20"/>
                <w:szCs w:val="20"/>
                <w:lang w:val="sr-Cyrl-CS"/>
              </w:rPr>
              <w:t xml:space="preserve">за </w:t>
            </w:r>
            <w:r>
              <w:rPr>
                <w:spacing w:val="-13"/>
                <w:sz w:val="20"/>
                <w:szCs w:val="20"/>
                <w:lang w:val="sr-Cyrl-CS"/>
              </w:rPr>
              <w:t>20</w:t>
            </w:r>
            <w:r>
              <w:rPr>
                <w:spacing w:val="-13"/>
                <w:sz w:val="20"/>
                <w:szCs w:val="20"/>
              </w:rPr>
              <w:t>2</w:t>
            </w:r>
            <w:r>
              <w:rPr>
                <w:spacing w:val="-13"/>
                <w:sz w:val="20"/>
                <w:szCs w:val="20"/>
                <w:lang w:val="sr-Cyrl-RS"/>
              </w:rPr>
              <w:t>1</w:t>
            </w:r>
            <w:r>
              <w:rPr>
                <w:spacing w:val="-13"/>
                <w:sz w:val="20"/>
                <w:szCs w:val="20"/>
                <w:lang w:val="sr-Cyrl-CS"/>
              </w:rPr>
              <w:t xml:space="preserve">. </w:t>
            </w:r>
            <w:r>
              <w:rPr>
                <w:spacing w:val="-13"/>
                <w:sz w:val="20"/>
                <w:szCs w:val="20"/>
              </w:rPr>
              <w:t>Годину</w:t>
            </w:r>
            <w:r>
              <w:rPr>
                <w:spacing w:val="-13"/>
                <w:sz w:val="20"/>
                <w:szCs w:val="20"/>
                <w:lang w:val="sr-Cyrl-RS"/>
              </w:rPr>
              <w:t>-други ребаланс</w:t>
            </w:r>
          </w:p>
        </w:tc>
        <w:tc>
          <w:tcPr>
            <w:tcW w:w="1435" w:type="dxa"/>
            <w:shd w:val="clear" w:color="auto" w:fill="FFFFFF"/>
          </w:tcPr>
          <w:p>
            <w:pPr>
              <w:rPr>
                <w:spacing w:val="-3"/>
                <w:sz w:val="20"/>
                <w:szCs w:val="20"/>
                <w:lang w:val="sr-Cyrl-CS"/>
              </w:rPr>
            </w:pPr>
          </w:p>
          <w:p>
            <w:pPr>
              <w:rPr>
                <w:sz w:val="20"/>
                <w:szCs w:val="20"/>
              </w:rPr>
            </w:pPr>
            <w:r>
              <w:rPr>
                <w:spacing w:val="-3"/>
                <w:sz w:val="20"/>
                <w:szCs w:val="20"/>
                <w:lang w:val="sr-Cyrl-CS"/>
              </w:rPr>
              <w:t xml:space="preserve">Извршење у </w:t>
            </w:r>
            <w:r>
              <w:rPr>
                <w:spacing w:val="-10"/>
                <w:sz w:val="20"/>
                <w:szCs w:val="20"/>
                <w:lang w:val="sr-Cyrl-CS"/>
              </w:rPr>
              <w:t>20</w:t>
            </w:r>
            <w:r>
              <w:rPr>
                <w:spacing w:val="-10"/>
                <w:sz w:val="20"/>
                <w:szCs w:val="20"/>
              </w:rPr>
              <w:t>2</w:t>
            </w:r>
            <w:r>
              <w:rPr>
                <w:spacing w:val="-10"/>
                <w:sz w:val="20"/>
                <w:szCs w:val="20"/>
                <w:lang w:val="sr-Cyrl-RS"/>
              </w:rPr>
              <w:t>1</w:t>
            </w:r>
            <w:r>
              <w:rPr>
                <w:spacing w:val="-10"/>
                <w:sz w:val="20"/>
                <w:szCs w:val="20"/>
                <w:lang w:val="sr-Cyrl-CS"/>
              </w:rPr>
              <w:t>.</w:t>
            </w:r>
            <w:r>
              <w:rPr>
                <w:spacing w:val="-13"/>
                <w:sz w:val="20"/>
                <w:szCs w:val="20"/>
              </w:rPr>
              <w:t xml:space="preserve"> години</w:t>
            </w:r>
          </w:p>
        </w:tc>
        <w:tc>
          <w:tcPr>
            <w:tcW w:w="1116" w:type="dxa"/>
            <w:shd w:val="clear" w:color="auto" w:fill="FFFFFF"/>
          </w:tcPr>
          <w:p>
            <w:pPr>
              <w:rPr>
                <w:sz w:val="20"/>
                <w:szCs w:val="20"/>
              </w:rPr>
            </w:pPr>
            <w:r>
              <w:rPr>
                <w:spacing w:val="-8"/>
                <w:sz w:val="20"/>
                <w:szCs w:val="20"/>
                <w:lang w:val="sr-Cyrl-CS"/>
              </w:rPr>
              <w:t xml:space="preserve">Проценат </w:t>
            </w:r>
            <w:r>
              <w:rPr>
                <w:spacing w:val="-7"/>
                <w:sz w:val="20"/>
                <w:szCs w:val="20"/>
                <w:lang w:val="sr-Cyrl-CS"/>
              </w:rPr>
              <w:t xml:space="preserve">извршења у </w:t>
            </w:r>
            <w:r>
              <w:rPr>
                <w:spacing w:val="-6"/>
                <w:sz w:val="20"/>
                <w:szCs w:val="20"/>
                <w:lang w:val="sr-Cyrl-CS"/>
              </w:rPr>
              <w:t xml:space="preserve">односу на </w:t>
            </w:r>
            <w:r>
              <w:rPr>
                <w:spacing w:val="-4"/>
                <w:sz w:val="20"/>
                <w:szCs w:val="20"/>
                <w:lang w:val="sr-Cyrl-CS"/>
              </w:rPr>
              <w:t xml:space="preserve">текући </w:t>
            </w:r>
            <w:r>
              <w:rPr>
                <w:spacing w:val="-7"/>
                <w:sz w:val="20"/>
                <w:szCs w:val="20"/>
                <w:lang w:val="sr-Cyrl-CS"/>
              </w:rPr>
              <w:t>буџет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926" w:hRule="exact"/>
        </w:trPr>
        <w:tc>
          <w:tcPr>
            <w:tcW w:w="852" w:type="dxa"/>
            <w:shd w:val="clear" w:color="auto" w:fill="FFFFFF"/>
            <w:vAlign w:val="center"/>
          </w:tcPr>
          <w:p>
            <w:pPr>
              <w:rPr>
                <w:sz w:val="20"/>
                <w:szCs w:val="20"/>
              </w:rPr>
            </w:pPr>
            <w:r>
              <w:rPr>
                <w:sz w:val="20"/>
                <w:szCs w:val="20"/>
              </w:rPr>
              <w:t>2003</w:t>
            </w:r>
          </w:p>
        </w:tc>
        <w:tc>
          <w:tcPr>
            <w:tcW w:w="1038" w:type="dxa"/>
            <w:shd w:val="clear" w:color="auto" w:fill="FFFFFF"/>
            <w:vAlign w:val="center"/>
          </w:tcPr>
          <w:p>
            <w:pPr>
              <w:rPr>
                <w:sz w:val="20"/>
                <w:szCs w:val="20"/>
              </w:rPr>
            </w:pPr>
          </w:p>
          <w:p>
            <w:pPr>
              <w:rPr>
                <w:sz w:val="20"/>
                <w:szCs w:val="20"/>
              </w:rPr>
            </w:pPr>
          </w:p>
        </w:tc>
        <w:tc>
          <w:tcPr>
            <w:tcW w:w="2221" w:type="dxa"/>
            <w:shd w:val="clear" w:color="auto" w:fill="FFFFFF"/>
            <w:vAlign w:val="center"/>
          </w:tcPr>
          <w:p>
            <w:pPr>
              <w:rPr>
                <w:sz w:val="20"/>
                <w:szCs w:val="20"/>
                <w:lang w:val="sr-Cyrl-CS"/>
              </w:rPr>
            </w:pPr>
            <w:r>
              <w:rPr>
                <w:sz w:val="20"/>
                <w:szCs w:val="20"/>
                <w:lang w:val="sr-Cyrl-CS"/>
              </w:rPr>
              <w:t>Програм 1</w:t>
            </w:r>
            <w:r>
              <w:rPr>
                <w:sz w:val="20"/>
                <w:szCs w:val="20"/>
              </w:rPr>
              <w:t>0</w:t>
            </w:r>
            <w:r>
              <w:rPr>
                <w:sz w:val="20"/>
                <w:szCs w:val="20"/>
                <w:lang w:val="sr-Cyrl-CS"/>
              </w:rPr>
              <w:t xml:space="preserve">: </w:t>
            </w:r>
            <w:r>
              <w:rPr>
                <w:sz w:val="20"/>
                <w:szCs w:val="20"/>
                <w:lang w:val="sr-Cyrl-RS"/>
              </w:rPr>
              <w:t>Средње образовање и васпитање</w:t>
            </w:r>
            <w:r>
              <w:rPr>
                <w:sz w:val="20"/>
                <w:szCs w:val="20"/>
                <w:lang w:val="sr-Cyrl-CS"/>
              </w:rPr>
              <w:t xml:space="preserve"> </w:t>
            </w:r>
          </w:p>
        </w:tc>
        <w:tc>
          <w:tcPr>
            <w:tcW w:w="1985" w:type="dxa"/>
            <w:shd w:val="clear" w:color="auto" w:fill="FFFFFF"/>
            <w:vAlign w:val="center"/>
          </w:tcPr>
          <w:p>
            <w:pPr>
              <w:jc w:val="right"/>
              <w:rPr>
                <w:spacing w:val="-7"/>
                <w:lang w:val="sr-Cyrl-CS"/>
              </w:rPr>
            </w:pPr>
            <w:r>
              <w:rPr>
                <w:spacing w:val="-7"/>
                <w:lang w:val="sr-Cyrl-CS"/>
              </w:rPr>
              <w:t>20.966.700</w:t>
            </w:r>
          </w:p>
        </w:tc>
        <w:tc>
          <w:tcPr>
            <w:tcW w:w="1559" w:type="dxa"/>
            <w:shd w:val="clear" w:color="auto" w:fill="FFFFFF"/>
            <w:vAlign w:val="center"/>
          </w:tcPr>
          <w:p>
            <w:pPr>
              <w:jc w:val="right"/>
              <w:rPr>
                <w:spacing w:val="-6"/>
                <w:lang w:val="sr-Cyrl-CS"/>
              </w:rPr>
            </w:pPr>
            <w:r>
              <w:rPr>
                <w:spacing w:val="-6"/>
                <w:lang w:val="sr-Cyrl-CS"/>
              </w:rPr>
              <w:t>20.152.140</w:t>
            </w:r>
          </w:p>
        </w:tc>
        <w:tc>
          <w:tcPr>
            <w:tcW w:w="1435" w:type="dxa"/>
            <w:shd w:val="clear" w:color="auto" w:fill="FFFFFF"/>
            <w:vAlign w:val="center"/>
          </w:tcPr>
          <w:p>
            <w:pPr>
              <w:jc w:val="right"/>
              <w:rPr>
                <w:spacing w:val="-7"/>
                <w:lang w:val="sr-Cyrl-CS"/>
              </w:rPr>
            </w:pPr>
            <w:r>
              <w:rPr>
                <w:spacing w:val="-7"/>
                <w:lang w:val="sr-Cyrl-CS"/>
              </w:rPr>
              <w:t>16.366.616</w:t>
            </w:r>
          </w:p>
        </w:tc>
        <w:tc>
          <w:tcPr>
            <w:tcW w:w="1116" w:type="dxa"/>
            <w:shd w:val="clear" w:color="auto" w:fill="FFFFFF"/>
            <w:vAlign w:val="center"/>
          </w:tcPr>
          <w:p>
            <w:pPr>
              <w:jc w:val="right"/>
              <w:rPr>
                <w:spacing w:val="-7"/>
                <w:lang w:val="sr-Cyrl-CS"/>
              </w:rPr>
            </w:pPr>
            <w:r>
              <w:rPr>
                <w:spacing w:val="-7"/>
                <w:lang w:val="sr-Cyrl-CS"/>
              </w:rPr>
              <w:t>81,2</w:t>
            </w:r>
            <w:r>
              <w:rPr>
                <w:spacing w:val="-7"/>
              </w:rPr>
              <w:t>2</w:t>
            </w:r>
            <w:r>
              <w:rPr>
                <w:spacing w:val="-7"/>
                <w:lang w:val="sr-Cyrl-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926" w:hRule="exact"/>
        </w:trPr>
        <w:tc>
          <w:tcPr>
            <w:tcW w:w="852" w:type="dxa"/>
            <w:shd w:val="clear" w:color="auto" w:fill="FFFFFF"/>
            <w:vAlign w:val="center"/>
          </w:tcPr>
          <w:p>
            <w:pPr>
              <w:rPr>
                <w:sz w:val="20"/>
                <w:szCs w:val="20"/>
                <w:lang w:val="sr-Cyrl-CS"/>
              </w:rPr>
            </w:pPr>
          </w:p>
        </w:tc>
        <w:tc>
          <w:tcPr>
            <w:tcW w:w="1038" w:type="dxa"/>
            <w:shd w:val="clear" w:color="auto" w:fill="FFFFFF"/>
            <w:vAlign w:val="center"/>
          </w:tcPr>
          <w:p>
            <w:pPr>
              <w:rPr>
                <w:sz w:val="20"/>
                <w:szCs w:val="20"/>
              </w:rPr>
            </w:pPr>
            <w:r>
              <w:rPr>
                <w:sz w:val="20"/>
                <w:szCs w:val="20"/>
                <w:lang w:val="sr-Cyrl-CS"/>
              </w:rPr>
              <w:t>2003-0003</w:t>
            </w:r>
          </w:p>
        </w:tc>
        <w:tc>
          <w:tcPr>
            <w:tcW w:w="2221" w:type="dxa"/>
            <w:shd w:val="clear" w:color="auto" w:fill="FFFFFF"/>
            <w:vAlign w:val="center"/>
          </w:tcPr>
          <w:p>
            <w:pPr>
              <w:rPr>
                <w:sz w:val="20"/>
                <w:szCs w:val="20"/>
                <w:lang w:val="sr-Cyrl-CS"/>
              </w:rPr>
            </w:pPr>
            <w:r>
              <w:rPr>
                <w:sz w:val="20"/>
                <w:szCs w:val="20"/>
                <w:lang w:val="sr-Cyrl-CS"/>
              </w:rPr>
              <w:t>Програмска активност: Функционисање установа за стручно усавршавање запослених</w:t>
            </w:r>
          </w:p>
        </w:tc>
        <w:tc>
          <w:tcPr>
            <w:tcW w:w="1985" w:type="dxa"/>
            <w:shd w:val="clear" w:color="auto" w:fill="FFFFFF"/>
            <w:vAlign w:val="center"/>
          </w:tcPr>
          <w:p>
            <w:pPr>
              <w:jc w:val="right"/>
              <w:rPr>
                <w:spacing w:val="-7"/>
                <w:lang w:val="sr-Cyrl-CS"/>
              </w:rPr>
            </w:pPr>
            <w:r>
              <w:rPr>
                <w:spacing w:val="-7"/>
                <w:lang w:val="sr-Cyrl-CS"/>
              </w:rPr>
              <w:t>20.966.700</w:t>
            </w:r>
          </w:p>
        </w:tc>
        <w:tc>
          <w:tcPr>
            <w:tcW w:w="1559" w:type="dxa"/>
            <w:shd w:val="clear" w:color="auto" w:fill="FFFFFF"/>
            <w:vAlign w:val="center"/>
          </w:tcPr>
          <w:p>
            <w:pPr>
              <w:jc w:val="right"/>
              <w:rPr>
                <w:spacing w:val="-6"/>
                <w:lang w:val="sr-Cyrl-CS"/>
              </w:rPr>
            </w:pPr>
            <w:r>
              <w:rPr>
                <w:spacing w:val="-6"/>
                <w:lang w:val="sr-Cyrl-CS"/>
              </w:rPr>
              <w:t>20.152.140</w:t>
            </w:r>
          </w:p>
        </w:tc>
        <w:tc>
          <w:tcPr>
            <w:tcW w:w="1435" w:type="dxa"/>
            <w:shd w:val="clear" w:color="auto" w:fill="FFFFFF"/>
            <w:vAlign w:val="center"/>
          </w:tcPr>
          <w:p>
            <w:pPr>
              <w:jc w:val="right"/>
              <w:rPr>
                <w:spacing w:val="-7"/>
                <w:lang w:val="sr-Cyrl-CS"/>
              </w:rPr>
            </w:pPr>
            <w:r>
              <w:rPr>
                <w:spacing w:val="-7"/>
                <w:lang w:val="sr-Cyrl-CS"/>
              </w:rPr>
              <w:t>16.366.616</w:t>
            </w:r>
          </w:p>
        </w:tc>
        <w:tc>
          <w:tcPr>
            <w:tcW w:w="1116" w:type="dxa"/>
            <w:shd w:val="clear" w:color="auto" w:fill="FFFFFF"/>
            <w:vAlign w:val="center"/>
          </w:tcPr>
          <w:p>
            <w:pPr>
              <w:jc w:val="right"/>
              <w:rPr>
                <w:spacing w:val="-7"/>
                <w:lang w:val="sr-Cyrl-CS"/>
              </w:rPr>
            </w:pPr>
            <w:r>
              <w:rPr>
                <w:spacing w:val="-7"/>
                <w:lang w:val="sr-Cyrl-CS"/>
              </w:rPr>
              <w:t>81,2</w:t>
            </w:r>
            <w:r>
              <w:rPr>
                <w:spacing w:val="-7"/>
              </w:rPr>
              <w:t>2</w:t>
            </w:r>
            <w:r>
              <w:rPr>
                <w:spacing w:val="-7"/>
                <w:lang w:val="sr-Cyrl-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58" w:hRule="exact"/>
        </w:trPr>
        <w:tc>
          <w:tcPr>
            <w:tcW w:w="852" w:type="dxa"/>
            <w:shd w:val="clear" w:color="auto" w:fill="FFFFFF"/>
            <w:vAlign w:val="center"/>
          </w:tcPr>
          <w:p>
            <w:pPr>
              <w:rPr>
                <w:sz w:val="20"/>
                <w:szCs w:val="20"/>
              </w:rPr>
            </w:pPr>
          </w:p>
        </w:tc>
        <w:tc>
          <w:tcPr>
            <w:tcW w:w="1038" w:type="dxa"/>
            <w:shd w:val="clear" w:color="auto" w:fill="FFFFFF"/>
            <w:vAlign w:val="center"/>
          </w:tcPr>
          <w:p>
            <w:pPr>
              <w:rPr>
                <w:sz w:val="20"/>
                <w:szCs w:val="20"/>
              </w:rPr>
            </w:pPr>
          </w:p>
        </w:tc>
        <w:tc>
          <w:tcPr>
            <w:tcW w:w="2221" w:type="dxa"/>
            <w:shd w:val="clear" w:color="auto" w:fill="FFFFFF"/>
            <w:vAlign w:val="center"/>
          </w:tcPr>
          <w:p>
            <w:pPr>
              <w:rPr>
                <w:sz w:val="20"/>
                <w:szCs w:val="20"/>
              </w:rPr>
            </w:pPr>
            <w:r>
              <w:rPr>
                <w:sz w:val="20"/>
                <w:szCs w:val="20"/>
              </w:rPr>
              <w:t>УКУПНО</w:t>
            </w:r>
          </w:p>
        </w:tc>
        <w:tc>
          <w:tcPr>
            <w:tcW w:w="1985" w:type="dxa"/>
            <w:shd w:val="clear" w:color="auto" w:fill="FFFFFF"/>
            <w:vAlign w:val="center"/>
          </w:tcPr>
          <w:p>
            <w:pPr>
              <w:jc w:val="right"/>
              <w:rPr>
                <w:spacing w:val="-7"/>
                <w:lang w:val="sr-Cyrl-CS"/>
              </w:rPr>
            </w:pPr>
            <w:r>
              <w:rPr>
                <w:spacing w:val="-7"/>
                <w:lang w:val="sr-Cyrl-CS"/>
              </w:rPr>
              <w:t>20.966.700</w:t>
            </w:r>
          </w:p>
        </w:tc>
        <w:tc>
          <w:tcPr>
            <w:tcW w:w="1559" w:type="dxa"/>
            <w:shd w:val="clear" w:color="auto" w:fill="FFFFFF"/>
            <w:vAlign w:val="center"/>
          </w:tcPr>
          <w:p>
            <w:pPr>
              <w:jc w:val="right"/>
              <w:rPr>
                <w:spacing w:val="-6"/>
                <w:lang w:val="sr-Cyrl-CS"/>
              </w:rPr>
            </w:pPr>
            <w:r>
              <w:rPr>
                <w:spacing w:val="-6"/>
                <w:lang w:val="sr-Cyrl-CS"/>
              </w:rPr>
              <w:t>20.152.140</w:t>
            </w:r>
          </w:p>
        </w:tc>
        <w:tc>
          <w:tcPr>
            <w:tcW w:w="1435" w:type="dxa"/>
            <w:shd w:val="clear" w:color="auto" w:fill="FFFFFF"/>
            <w:vAlign w:val="center"/>
          </w:tcPr>
          <w:p>
            <w:pPr>
              <w:jc w:val="right"/>
              <w:rPr>
                <w:spacing w:val="-7"/>
                <w:lang w:val="sr-Cyrl-CS"/>
              </w:rPr>
            </w:pPr>
            <w:r>
              <w:rPr>
                <w:spacing w:val="-7"/>
                <w:lang w:val="sr-Cyrl-CS"/>
              </w:rPr>
              <w:t>16.366.616</w:t>
            </w:r>
          </w:p>
        </w:tc>
        <w:tc>
          <w:tcPr>
            <w:tcW w:w="1116" w:type="dxa"/>
            <w:shd w:val="clear" w:color="auto" w:fill="FFFFFF"/>
            <w:vAlign w:val="center"/>
          </w:tcPr>
          <w:p>
            <w:pPr>
              <w:jc w:val="right"/>
              <w:rPr>
                <w:spacing w:val="-7"/>
                <w:lang w:val="sr-Cyrl-CS"/>
              </w:rPr>
            </w:pPr>
            <w:r>
              <w:rPr>
                <w:spacing w:val="-7"/>
                <w:lang w:val="sr-Cyrl-CS"/>
              </w:rPr>
              <w:t>81,2</w:t>
            </w:r>
            <w:r>
              <w:rPr>
                <w:spacing w:val="-7"/>
              </w:rPr>
              <w:t>2</w:t>
            </w:r>
            <w:r>
              <w:rPr>
                <w:spacing w:val="-7"/>
                <w:lang w:val="sr-Cyrl-CS"/>
              </w:rPr>
              <w:t>%</w:t>
            </w:r>
          </w:p>
        </w:tc>
      </w:tr>
    </w:tbl>
    <w:p>
      <w:pPr>
        <w:rPr>
          <w:lang w:val="sr-Cyrl-RS"/>
        </w:rPr>
      </w:pPr>
    </w:p>
    <w:p>
      <w:pPr>
        <w:rPr>
          <w:b/>
          <w:bCs/>
          <w:iCs/>
        </w:rPr>
      </w:pPr>
    </w:p>
    <w:p>
      <w:pPr>
        <w:jc w:val="both"/>
        <w:rPr>
          <w:lang w:val="sr-Cyrl-RS"/>
        </w:rPr>
      </w:pPr>
      <w:r>
        <w:rPr>
          <w:lang w:val="sr-Cyrl-RS"/>
        </w:rPr>
        <w:t>Сагледав</w:t>
      </w:r>
      <w:r>
        <w:t>aj</w:t>
      </w:r>
      <w:r>
        <w:rPr>
          <w:lang w:val="sr-Cyrl-RS"/>
        </w:rPr>
        <w:t>ући структуру извора финансирања средства из буџета града Смедерева  од планираних 19.566.225 динара су  реализована у износу од 15.915.759 динара, из средстава Републике (средства за програме ЦПН-а, а такође преко Буџета града Смедерева) од уплаћених 276.500 динара у 2021. години   реализована су у износу од 141.714 динара, док су наменска средства која су пренета из претходне 2020. године у износу од 309.415 динара реализована су  у износу од 309.143 динара (преостала су само планирана средства за трошкове платног промета), тако да је укупно извршење финансијског плана за планиране намене у износу од 16.366.616 динара.</w:t>
      </w:r>
    </w:p>
    <w:p>
      <w:pPr>
        <w:jc w:val="both"/>
        <w:rPr>
          <w:lang w:val="sr-Cyrl-RS"/>
        </w:rPr>
      </w:pPr>
      <w:r>
        <w:rPr>
          <w:lang w:val="sr-Cyrl-RS"/>
        </w:rPr>
        <w:t>Регионални центар за професионални развој запослених реализацијом свог годишњег програма укупно је фактурисао и наплатио приходе у корист наменских рачуна Буџета Града Смедерева  износ од 6.529.440 динара, при чему је за услуге преноћишта у смештајном простору Центра преко евиденционог рачуна наплаћено 5.382.800 динара, док су остали приходи по основу семинара, боравишне таксе за смештај, као и коришћење простора за друге намене бројних корисника, с тим што један број буџетских корисника простор користи без накнаде.</w:t>
      </w:r>
    </w:p>
    <w:p>
      <w:pPr>
        <w:ind w:left="720"/>
        <w:jc w:val="both"/>
        <w:rPr>
          <w:lang w:val="sr-Cyrl-RS"/>
        </w:rPr>
      </w:pPr>
    </w:p>
    <w:p>
      <w:pPr>
        <w:ind w:left="720"/>
        <w:jc w:val="center"/>
        <w:rPr>
          <w:b/>
          <w:lang w:val="sr-Cyrl-RS"/>
        </w:rPr>
      </w:pPr>
      <w:r>
        <w:rPr>
          <w:b/>
          <w:lang w:val="sr-Cyrl-RS"/>
        </w:rPr>
        <w:t>Планирани и извршени расходи за период јануар-децембар 2021. године:</w:t>
      </w:r>
    </w:p>
    <w:tbl>
      <w:tblPr>
        <w:tblStyle w:val="11"/>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402"/>
        <w:gridCol w:w="1740"/>
        <w:gridCol w:w="1771"/>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Конто</w:t>
            </w:r>
          </w:p>
        </w:tc>
        <w:tc>
          <w:tcPr>
            <w:tcW w:w="2402" w:type="dxa"/>
          </w:tcPr>
          <w:p>
            <w:pPr>
              <w:jc w:val="both"/>
              <w:rPr>
                <w:lang w:val="sr-Cyrl-RS"/>
              </w:rPr>
            </w:pPr>
            <w:r>
              <w:rPr>
                <w:lang w:val="sr-Cyrl-RS"/>
              </w:rPr>
              <w:t>Опис</w:t>
            </w:r>
          </w:p>
        </w:tc>
        <w:tc>
          <w:tcPr>
            <w:tcW w:w="1740" w:type="dxa"/>
          </w:tcPr>
          <w:p>
            <w:pPr>
              <w:jc w:val="both"/>
              <w:rPr>
                <w:lang w:val="sr-Cyrl-RS"/>
              </w:rPr>
            </w:pPr>
            <w:r>
              <w:rPr>
                <w:lang w:val="sr-Cyrl-RS"/>
              </w:rPr>
              <w:t>Планирана укупна средства за 2021. годину</w:t>
            </w:r>
          </w:p>
        </w:tc>
        <w:tc>
          <w:tcPr>
            <w:tcW w:w="1771" w:type="dxa"/>
          </w:tcPr>
          <w:p>
            <w:pPr>
              <w:jc w:val="both"/>
              <w:rPr>
                <w:lang w:val="sr-Cyrl-RS"/>
              </w:rPr>
            </w:pPr>
            <w:r>
              <w:rPr>
                <w:lang w:val="sr-Cyrl-RS"/>
              </w:rPr>
              <w:t>Реализована укупна средства у 2021. години</w:t>
            </w:r>
          </w:p>
        </w:tc>
        <w:tc>
          <w:tcPr>
            <w:tcW w:w="1760" w:type="dxa"/>
          </w:tcPr>
          <w:p>
            <w:pPr>
              <w:jc w:val="both"/>
              <w:rPr>
                <w:lang w:val="sr-Cyrl-RS"/>
              </w:rPr>
            </w:pPr>
            <w:r>
              <w:rPr>
                <w:lang w:val="sr-Cyrl-RS"/>
              </w:rPr>
              <w:t>% реализације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411</w:t>
            </w:r>
          </w:p>
        </w:tc>
        <w:tc>
          <w:tcPr>
            <w:tcW w:w="2402" w:type="dxa"/>
          </w:tcPr>
          <w:p>
            <w:pPr>
              <w:jc w:val="both"/>
              <w:rPr>
                <w:lang w:val="sr-Cyrl-RS"/>
              </w:rPr>
            </w:pPr>
            <w:r>
              <w:rPr>
                <w:lang w:val="sr-Cyrl-RS"/>
              </w:rPr>
              <w:t>Плате, додаци и накнаде</w:t>
            </w:r>
          </w:p>
        </w:tc>
        <w:tc>
          <w:tcPr>
            <w:tcW w:w="1740" w:type="dxa"/>
          </w:tcPr>
          <w:p>
            <w:pPr>
              <w:jc w:val="right"/>
              <w:rPr>
                <w:lang w:val="sr-Cyrl-RS"/>
              </w:rPr>
            </w:pPr>
            <w:r>
              <w:rPr>
                <w:lang w:val="sr-Cyrl-RS"/>
              </w:rPr>
              <w:t>8.954.160</w:t>
            </w:r>
          </w:p>
        </w:tc>
        <w:tc>
          <w:tcPr>
            <w:tcW w:w="1771" w:type="dxa"/>
          </w:tcPr>
          <w:p>
            <w:pPr>
              <w:jc w:val="right"/>
              <w:rPr>
                <w:lang w:val="sr-Cyrl-RS"/>
              </w:rPr>
            </w:pPr>
            <w:r>
              <w:rPr>
                <w:lang w:val="sr-Cyrl-RS"/>
              </w:rPr>
              <w:t>8.952.652</w:t>
            </w:r>
          </w:p>
        </w:tc>
        <w:tc>
          <w:tcPr>
            <w:tcW w:w="1760" w:type="dxa"/>
          </w:tcPr>
          <w:p>
            <w:pPr>
              <w:jc w:val="right"/>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412</w:t>
            </w:r>
          </w:p>
        </w:tc>
        <w:tc>
          <w:tcPr>
            <w:tcW w:w="2402" w:type="dxa"/>
          </w:tcPr>
          <w:p>
            <w:pPr>
              <w:jc w:val="both"/>
              <w:rPr>
                <w:lang w:val="sr-Cyrl-RS"/>
              </w:rPr>
            </w:pPr>
            <w:r>
              <w:rPr>
                <w:lang w:val="sr-Cyrl-RS"/>
              </w:rPr>
              <w:t>Социјални доприноси послод.</w:t>
            </w:r>
          </w:p>
        </w:tc>
        <w:tc>
          <w:tcPr>
            <w:tcW w:w="1740" w:type="dxa"/>
          </w:tcPr>
          <w:p>
            <w:pPr>
              <w:jc w:val="right"/>
              <w:rPr>
                <w:lang w:val="sr-Cyrl-RS"/>
              </w:rPr>
            </w:pPr>
            <w:r>
              <w:rPr>
                <w:lang w:val="sr-Cyrl-RS"/>
              </w:rPr>
              <w:t>1.537.225</w:t>
            </w:r>
          </w:p>
        </w:tc>
        <w:tc>
          <w:tcPr>
            <w:tcW w:w="1771" w:type="dxa"/>
          </w:tcPr>
          <w:p>
            <w:pPr>
              <w:jc w:val="right"/>
              <w:rPr>
                <w:lang w:val="sr-Cyrl-RS"/>
              </w:rPr>
            </w:pPr>
            <w:r>
              <w:rPr>
                <w:lang w:val="sr-Cyrl-RS"/>
              </w:rPr>
              <w:t>1.537.224</w:t>
            </w:r>
          </w:p>
        </w:tc>
        <w:tc>
          <w:tcPr>
            <w:tcW w:w="1760" w:type="dxa"/>
          </w:tcPr>
          <w:p>
            <w:pPr>
              <w:jc w:val="right"/>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413</w:t>
            </w:r>
          </w:p>
        </w:tc>
        <w:tc>
          <w:tcPr>
            <w:tcW w:w="2402" w:type="dxa"/>
          </w:tcPr>
          <w:p>
            <w:pPr>
              <w:jc w:val="both"/>
              <w:rPr>
                <w:lang w:val="sr-Cyrl-RS"/>
              </w:rPr>
            </w:pPr>
            <w:r>
              <w:rPr>
                <w:lang w:val="sr-Cyrl-RS"/>
              </w:rPr>
              <w:t>Накнаде у натури</w:t>
            </w:r>
          </w:p>
        </w:tc>
        <w:tc>
          <w:tcPr>
            <w:tcW w:w="1740" w:type="dxa"/>
          </w:tcPr>
          <w:p>
            <w:pPr>
              <w:jc w:val="right"/>
              <w:rPr>
                <w:lang w:val="sr-Cyrl-RS"/>
              </w:rPr>
            </w:pPr>
            <w:r>
              <w:rPr>
                <w:lang w:val="sr-Cyrl-RS"/>
              </w:rPr>
              <w:t>92.000</w:t>
            </w:r>
          </w:p>
        </w:tc>
        <w:tc>
          <w:tcPr>
            <w:tcW w:w="1771" w:type="dxa"/>
          </w:tcPr>
          <w:p>
            <w:pPr>
              <w:jc w:val="right"/>
              <w:rPr>
                <w:lang w:val="sr-Cyrl-RS"/>
              </w:rPr>
            </w:pPr>
            <w:r>
              <w:rPr>
                <w:lang w:val="sr-Cyrl-RS"/>
              </w:rPr>
              <w:t>50.500</w:t>
            </w:r>
          </w:p>
        </w:tc>
        <w:tc>
          <w:tcPr>
            <w:tcW w:w="1760" w:type="dxa"/>
          </w:tcPr>
          <w:p>
            <w:pPr>
              <w:jc w:val="right"/>
            </w:pPr>
            <w:r>
              <w:t>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414</w:t>
            </w:r>
          </w:p>
        </w:tc>
        <w:tc>
          <w:tcPr>
            <w:tcW w:w="2402" w:type="dxa"/>
          </w:tcPr>
          <w:p>
            <w:pPr>
              <w:jc w:val="both"/>
              <w:rPr>
                <w:lang w:val="sr-Cyrl-RS"/>
              </w:rPr>
            </w:pPr>
            <w:r>
              <w:rPr>
                <w:lang w:val="sr-Cyrl-RS"/>
              </w:rPr>
              <w:t>Социјална давања запосленима</w:t>
            </w:r>
          </w:p>
        </w:tc>
        <w:tc>
          <w:tcPr>
            <w:tcW w:w="1740" w:type="dxa"/>
          </w:tcPr>
          <w:p>
            <w:pPr>
              <w:jc w:val="right"/>
              <w:rPr>
                <w:lang w:val="sr-Cyrl-RS"/>
              </w:rPr>
            </w:pPr>
            <w:r>
              <w:rPr>
                <w:lang w:val="sr-Cyrl-RS"/>
              </w:rPr>
              <w:t>150.000</w:t>
            </w:r>
          </w:p>
        </w:tc>
        <w:tc>
          <w:tcPr>
            <w:tcW w:w="1771" w:type="dxa"/>
          </w:tcPr>
          <w:p>
            <w:pPr>
              <w:jc w:val="right"/>
              <w:rPr>
                <w:lang w:val="sr-Cyrl-RS"/>
              </w:rPr>
            </w:pPr>
            <w:r>
              <w:rPr>
                <w:lang w:val="sr-Cyrl-RS"/>
              </w:rPr>
              <w:t>70.696</w:t>
            </w:r>
          </w:p>
        </w:tc>
        <w:tc>
          <w:tcPr>
            <w:tcW w:w="1760" w:type="dxa"/>
          </w:tcPr>
          <w:p>
            <w:pPr>
              <w:jc w:val="right"/>
            </w:pPr>
            <w:r>
              <w:t>47,13%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415</w:t>
            </w:r>
          </w:p>
        </w:tc>
        <w:tc>
          <w:tcPr>
            <w:tcW w:w="2402" w:type="dxa"/>
          </w:tcPr>
          <w:p>
            <w:pPr>
              <w:jc w:val="both"/>
              <w:rPr>
                <w:lang w:val="sr-Cyrl-RS"/>
              </w:rPr>
            </w:pPr>
            <w:r>
              <w:rPr>
                <w:lang w:val="sr-Cyrl-RS"/>
              </w:rPr>
              <w:t>Накнада трошкова за запослене</w:t>
            </w:r>
          </w:p>
        </w:tc>
        <w:tc>
          <w:tcPr>
            <w:tcW w:w="1740" w:type="dxa"/>
          </w:tcPr>
          <w:p>
            <w:pPr>
              <w:jc w:val="right"/>
              <w:rPr>
                <w:lang w:val="sr-Cyrl-RS"/>
              </w:rPr>
            </w:pPr>
            <w:r>
              <w:rPr>
                <w:lang w:val="sr-Cyrl-RS"/>
              </w:rPr>
              <w:t>420.000</w:t>
            </w:r>
          </w:p>
        </w:tc>
        <w:tc>
          <w:tcPr>
            <w:tcW w:w="1771" w:type="dxa"/>
          </w:tcPr>
          <w:p>
            <w:pPr>
              <w:jc w:val="right"/>
              <w:rPr>
                <w:lang w:val="sr-Cyrl-RS"/>
              </w:rPr>
            </w:pPr>
            <w:r>
              <w:rPr>
                <w:lang w:val="sr-Cyrl-RS"/>
              </w:rPr>
              <w:t>383.400</w:t>
            </w:r>
          </w:p>
        </w:tc>
        <w:tc>
          <w:tcPr>
            <w:tcW w:w="1760" w:type="dxa"/>
          </w:tcPr>
          <w:p>
            <w:pPr>
              <w:jc w:val="right"/>
            </w:pPr>
            <w:r>
              <w:t>91,28%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416</w:t>
            </w:r>
          </w:p>
        </w:tc>
        <w:tc>
          <w:tcPr>
            <w:tcW w:w="2402" w:type="dxa"/>
          </w:tcPr>
          <w:p>
            <w:pPr>
              <w:jc w:val="both"/>
              <w:rPr>
                <w:lang w:val="sr-Cyrl-RS"/>
              </w:rPr>
            </w:pPr>
            <w:r>
              <w:rPr>
                <w:lang w:val="sr-Cyrl-RS"/>
              </w:rPr>
              <w:t>Награде запосленима-јубиларне награде</w:t>
            </w:r>
          </w:p>
        </w:tc>
        <w:tc>
          <w:tcPr>
            <w:tcW w:w="1740" w:type="dxa"/>
          </w:tcPr>
          <w:p>
            <w:pPr>
              <w:jc w:val="right"/>
              <w:rPr>
                <w:lang w:val="sr-Cyrl-RS"/>
              </w:rPr>
            </w:pPr>
            <w:r>
              <w:rPr>
                <w:lang w:val="sr-Cyrl-RS"/>
              </w:rPr>
              <w:t>346.000</w:t>
            </w:r>
          </w:p>
        </w:tc>
        <w:tc>
          <w:tcPr>
            <w:tcW w:w="1771" w:type="dxa"/>
          </w:tcPr>
          <w:p>
            <w:pPr>
              <w:jc w:val="right"/>
              <w:rPr>
                <w:lang w:val="sr-Cyrl-RS"/>
              </w:rPr>
            </w:pPr>
            <w:r>
              <w:rPr>
                <w:lang w:val="sr-Cyrl-RS"/>
              </w:rPr>
              <w:t>345.099</w:t>
            </w:r>
          </w:p>
        </w:tc>
        <w:tc>
          <w:tcPr>
            <w:tcW w:w="1760" w:type="dxa"/>
          </w:tcPr>
          <w:p>
            <w:pPr>
              <w:jc w:val="right"/>
            </w:pPr>
            <w:r>
              <w:t>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421</w:t>
            </w:r>
          </w:p>
        </w:tc>
        <w:tc>
          <w:tcPr>
            <w:tcW w:w="2402" w:type="dxa"/>
          </w:tcPr>
          <w:p>
            <w:pPr>
              <w:jc w:val="both"/>
              <w:rPr>
                <w:lang w:val="sr-Cyrl-RS"/>
              </w:rPr>
            </w:pPr>
            <w:r>
              <w:rPr>
                <w:lang w:val="sr-Cyrl-RS"/>
              </w:rPr>
              <w:t>Стални трошкови</w:t>
            </w:r>
          </w:p>
        </w:tc>
        <w:tc>
          <w:tcPr>
            <w:tcW w:w="1740" w:type="dxa"/>
          </w:tcPr>
          <w:p>
            <w:pPr>
              <w:jc w:val="right"/>
              <w:rPr>
                <w:lang w:val="sr-Cyrl-RS"/>
              </w:rPr>
            </w:pPr>
            <w:r>
              <w:rPr>
                <w:lang w:val="sr-Cyrl-RS"/>
              </w:rPr>
              <w:t>2.100.799</w:t>
            </w:r>
          </w:p>
        </w:tc>
        <w:tc>
          <w:tcPr>
            <w:tcW w:w="1771" w:type="dxa"/>
          </w:tcPr>
          <w:p>
            <w:pPr>
              <w:jc w:val="right"/>
            </w:pPr>
            <w:r>
              <w:rPr>
                <w:lang w:val="sr-Cyrl-RS"/>
              </w:rPr>
              <w:t>1.71</w:t>
            </w:r>
            <w:r>
              <w:t>5.259</w:t>
            </w:r>
          </w:p>
        </w:tc>
        <w:tc>
          <w:tcPr>
            <w:tcW w:w="1760" w:type="dxa"/>
          </w:tcPr>
          <w:p>
            <w:pPr>
              <w:jc w:val="right"/>
            </w:pPr>
            <w:r>
              <w:t>81,65%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422</w:t>
            </w:r>
          </w:p>
        </w:tc>
        <w:tc>
          <w:tcPr>
            <w:tcW w:w="2402" w:type="dxa"/>
          </w:tcPr>
          <w:p>
            <w:pPr>
              <w:jc w:val="both"/>
              <w:rPr>
                <w:lang w:val="sr-Cyrl-RS"/>
              </w:rPr>
            </w:pPr>
            <w:r>
              <w:rPr>
                <w:lang w:val="sr-Cyrl-RS"/>
              </w:rPr>
              <w:t>Трошкови путовања</w:t>
            </w:r>
          </w:p>
        </w:tc>
        <w:tc>
          <w:tcPr>
            <w:tcW w:w="1740" w:type="dxa"/>
          </w:tcPr>
          <w:p>
            <w:pPr>
              <w:jc w:val="right"/>
              <w:rPr>
                <w:lang w:val="sr-Cyrl-RS"/>
              </w:rPr>
            </w:pPr>
            <w:r>
              <w:rPr>
                <w:lang w:val="sr-Cyrl-RS"/>
              </w:rPr>
              <w:t>129.600</w:t>
            </w:r>
          </w:p>
        </w:tc>
        <w:tc>
          <w:tcPr>
            <w:tcW w:w="1771" w:type="dxa"/>
          </w:tcPr>
          <w:p>
            <w:pPr>
              <w:jc w:val="right"/>
              <w:rPr>
                <w:lang w:val="sr-Cyrl-RS"/>
              </w:rPr>
            </w:pPr>
            <w:r>
              <w:rPr>
                <w:lang w:val="sr-Cyrl-RS"/>
              </w:rPr>
              <w:t>68.058</w:t>
            </w:r>
          </w:p>
        </w:tc>
        <w:tc>
          <w:tcPr>
            <w:tcW w:w="1760" w:type="dxa"/>
          </w:tcPr>
          <w:p>
            <w:pPr>
              <w:jc w:val="right"/>
            </w:pPr>
            <w:r>
              <w:t>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423</w:t>
            </w:r>
          </w:p>
        </w:tc>
        <w:tc>
          <w:tcPr>
            <w:tcW w:w="2402" w:type="dxa"/>
          </w:tcPr>
          <w:p>
            <w:pPr>
              <w:jc w:val="both"/>
              <w:rPr>
                <w:lang w:val="sr-Cyrl-RS"/>
              </w:rPr>
            </w:pPr>
            <w:r>
              <w:rPr>
                <w:lang w:val="sr-Cyrl-RS"/>
              </w:rPr>
              <w:t>Услуге по уговору</w:t>
            </w:r>
          </w:p>
        </w:tc>
        <w:tc>
          <w:tcPr>
            <w:tcW w:w="1740" w:type="dxa"/>
          </w:tcPr>
          <w:p>
            <w:pPr>
              <w:jc w:val="right"/>
              <w:rPr>
                <w:lang w:val="sr-Cyrl-RS"/>
              </w:rPr>
            </w:pPr>
            <w:r>
              <w:rPr>
                <w:lang w:val="sr-Cyrl-RS"/>
              </w:rPr>
              <w:t>3.144.893</w:t>
            </w:r>
          </w:p>
        </w:tc>
        <w:tc>
          <w:tcPr>
            <w:tcW w:w="1771" w:type="dxa"/>
          </w:tcPr>
          <w:p>
            <w:pPr>
              <w:jc w:val="right"/>
            </w:pPr>
            <w:r>
              <w:rPr>
                <w:lang w:val="sr-Cyrl-RS"/>
              </w:rPr>
              <w:t>2.010.42</w:t>
            </w:r>
            <w:r>
              <w:t>4</w:t>
            </w:r>
          </w:p>
        </w:tc>
        <w:tc>
          <w:tcPr>
            <w:tcW w:w="1760" w:type="dxa"/>
          </w:tcPr>
          <w:p>
            <w:pPr>
              <w:jc w:val="right"/>
            </w:pPr>
            <w:r>
              <w:t>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424</w:t>
            </w:r>
          </w:p>
        </w:tc>
        <w:tc>
          <w:tcPr>
            <w:tcW w:w="2402" w:type="dxa"/>
          </w:tcPr>
          <w:p>
            <w:pPr>
              <w:jc w:val="both"/>
              <w:rPr>
                <w:lang w:val="sr-Cyrl-RS"/>
              </w:rPr>
            </w:pPr>
            <w:r>
              <w:rPr>
                <w:lang w:val="sr-Cyrl-RS"/>
              </w:rPr>
              <w:t>Специјализоване услуге</w:t>
            </w:r>
          </w:p>
        </w:tc>
        <w:tc>
          <w:tcPr>
            <w:tcW w:w="1740" w:type="dxa"/>
          </w:tcPr>
          <w:p>
            <w:pPr>
              <w:jc w:val="right"/>
              <w:rPr>
                <w:lang w:val="sr-Cyrl-RS"/>
              </w:rPr>
            </w:pPr>
            <w:r>
              <w:rPr>
                <w:lang w:val="sr-Cyrl-RS"/>
              </w:rPr>
              <w:t>220.000</w:t>
            </w:r>
          </w:p>
        </w:tc>
        <w:tc>
          <w:tcPr>
            <w:tcW w:w="1771" w:type="dxa"/>
          </w:tcPr>
          <w:p>
            <w:pPr>
              <w:jc w:val="right"/>
              <w:rPr>
                <w:lang w:val="sr-Cyrl-RS"/>
              </w:rPr>
            </w:pPr>
            <w:r>
              <w:rPr>
                <w:lang w:val="sr-Cyrl-RS"/>
              </w:rPr>
              <w:t>97.582</w:t>
            </w:r>
          </w:p>
        </w:tc>
        <w:tc>
          <w:tcPr>
            <w:tcW w:w="1760" w:type="dxa"/>
          </w:tcPr>
          <w:p>
            <w:pPr>
              <w:jc w:val="right"/>
            </w:pPr>
            <w:r>
              <w:t>44,35%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425</w:t>
            </w:r>
          </w:p>
        </w:tc>
        <w:tc>
          <w:tcPr>
            <w:tcW w:w="2402" w:type="dxa"/>
          </w:tcPr>
          <w:p>
            <w:pPr>
              <w:jc w:val="both"/>
              <w:rPr>
                <w:lang w:val="sr-Cyrl-RS"/>
              </w:rPr>
            </w:pPr>
            <w:r>
              <w:rPr>
                <w:lang w:val="sr-Cyrl-RS"/>
              </w:rPr>
              <w:t>Текуће поправке и одржавање</w:t>
            </w:r>
          </w:p>
        </w:tc>
        <w:tc>
          <w:tcPr>
            <w:tcW w:w="1740" w:type="dxa"/>
          </w:tcPr>
          <w:p>
            <w:pPr>
              <w:jc w:val="right"/>
              <w:rPr>
                <w:lang w:val="sr-Cyrl-RS"/>
              </w:rPr>
            </w:pPr>
            <w:r>
              <w:rPr>
                <w:lang w:val="sr-Cyrl-RS"/>
              </w:rPr>
              <w:t>450.000</w:t>
            </w:r>
          </w:p>
        </w:tc>
        <w:tc>
          <w:tcPr>
            <w:tcW w:w="1771" w:type="dxa"/>
          </w:tcPr>
          <w:p>
            <w:pPr>
              <w:jc w:val="right"/>
              <w:rPr>
                <w:lang w:val="sr-Cyrl-RS"/>
              </w:rPr>
            </w:pPr>
            <w:r>
              <w:rPr>
                <w:lang w:val="sr-Cyrl-RS"/>
              </w:rPr>
              <w:t>342.298</w:t>
            </w:r>
          </w:p>
        </w:tc>
        <w:tc>
          <w:tcPr>
            <w:tcW w:w="1760" w:type="dxa"/>
          </w:tcPr>
          <w:p>
            <w:pPr>
              <w:jc w:val="right"/>
            </w:pPr>
            <w:r>
              <w:t>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426</w:t>
            </w:r>
          </w:p>
        </w:tc>
        <w:tc>
          <w:tcPr>
            <w:tcW w:w="2402" w:type="dxa"/>
          </w:tcPr>
          <w:p>
            <w:pPr>
              <w:jc w:val="both"/>
              <w:rPr>
                <w:lang w:val="sr-Cyrl-RS"/>
              </w:rPr>
            </w:pPr>
            <w:r>
              <w:rPr>
                <w:lang w:val="sr-Cyrl-RS"/>
              </w:rPr>
              <w:t>Материјал</w:t>
            </w:r>
          </w:p>
        </w:tc>
        <w:tc>
          <w:tcPr>
            <w:tcW w:w="1740" w:type="dxa"/>
          </w:tcPr>
          <w:p>
            <w:pPr>
              <w:jc w:val="right"/>
              <w:rPr>
                <w:lang w:val="sr-Cyrl-RS"/>
              </w:rPr>
            </w:pPr>
            <w:r>
              <w:rPr>
                <w:lang w:val="sr-Cyrl-RS"/>
              </w:rPr>
              <w:t>1.595.923</w:t>
            </w:r>
          </w:p>
        </w:tc>
        <w:tc>
          <w:tcPr>
            <w:tcW w:w="1771" w:type="dxa"/>
          </w:tcPr>
          <w:p>
            <w:pPr>
              <w:jc w:val="right"/>
              <w:rPr>
                <w:lang w:val="sr-Cyrl-RS"/>
              </w:rPr>
            </w:pPr>
            <w:r>
              <w:rPr>
                <w:lang w:val="sr-Cyrl-RS"/>
              </w:rPr>
              <w:t>546.596</w:t>
            </w:r>
          </w:p>
        </w:tc>
        <w:tc>
          <w:tcPr>
            <w:tcW w:w="1760" w:type="dxa"/>
          </w:tcPr>
          <w:p>
            <w:pPr>
              <w:jc w:val="right"/>
            </w:pPr>
            <w:r>
              <w:t>34,25%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463</w:t>
            </w:r>
          </w:p>
        </w:tc>
        <w:tc>
          <w:tcPr>
            <w:tcW w:w="2402" w:type="dxa"/>
          </w:tcPr>
          <w:p>
            <w:pPr>
              <w:jc w:val="both"/>
              <w:rPr>
                <w:lang w:val="sr-Cyrl-RS"/>
              </w:rPr>
            </w:pPr>
            <w:r>
              <w:rPr>
                <w:lang w:val="sr-Cyrl-RS"/>
              </w:rPr>
              <w:t>Трансфери осталим нивоима власти</w:t>
            </w:r>
          </w:p>
        </w:tc>
        <w:tc>
          <w:tcPr>
            <w:tcW w:w="1740" w:type="dxa"/>
          </w:tcPr>
          <w:p>
            <w:pPr>
              <w:jc w:val="right"/>
              <w:rPr>
                <w:lang w:val="sr-Cyrl-RS"/>
              </w:rPr>
            </w:pPr>
            <w:r>
              <w:rPr>
                <w:lang w:val="sr-Cyrl-RS"/>
              </w:rPr>
              <w:t>88.000</w:t>
            </w:r>
          </w:p>
        </w:tc>
        <w:tc>
          <w:tcPr>
            <w:tcW w:w="1771" w:type="dxa"/>
          </w:tcPr>
          <w:p>
            <w:pPr>
              <w:jc w:val="right"/>
              <w:rPr>
                <w:lang w:val="sr-Cyrl-RS"/>
              </w:rPr>
            </w:pPr>
            <w:r>
              <w:rPr>
                <w:lang w:val="sr-Cyrl-RS"/>
              </w:rPr>
              <w:t>88.000</w:t>
            </w:r>
          </w:p>
        </w:tc>
        <w:tc>
          <w:tcPr>
            <w:tcW w:w="1760" w:type="dxa"/>
          </w:tcPr>
          <w:p>
            <w:pPr>
              <w:jc w:val="right"/>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482</w:t>
            </w:r>
          </w:p>
        </w:tc>
        <w:tc>
          <w:tcPr>
            <w:tcW w:w="2402" w:type="dxa"/>
          </w:tcPr>
          <w:p>
            <w:pPr>
              <w:jc w:val="both"/>
              <w:rPr>
                <w:lang w:val="sr-Cyrl-RS"/>
              </w:rPr>
            </w:pPr>
            <w:r>
              <w:rPr>
                <w:lang w:val="sr-Cyrl-RS"/>
              </w:rPr>
              <w:t>Порези, таксе, казне</w:t>
            </w:r>
          </w:p>
        </w:tc>
        <w:tc>
          <w:tcPr>
            <w:tcW w:w="1740" w:type="dxa"/>
          </w:tcPr>
          <w:p>
            <w:pPr>
              <w:jc w:val="right"/>
              <w:rPr>
                <w:lang w:val="sr-Cyrl-RS"/>
              </w:rPr>
            </w:pPr>
            <w:r>
              <w:rPr>
                <w:lang w:val="sr-Cyrl-RS"/>
              </w:rPr>
              <w:t>100.000</w:t>
            </w:r>
          </w:p>
        </w:tc>
        <w:tc>
          <w:tcPr>
            <w:tcW w:w="1771" w:type="dxa"/>
          </w:tcPr>
          <w:p>
            <w:pPr>
              <w:jc w:val="right"/>
              <w:rPr>
                <w:lang w:val="sr-Cyrl-RS"/>
              </w:rPr>
            </w:pPr>
            <w:r>
              <w:rPr>
                <w:lang w:val="sr-Cyrl-RS"/>
              </w:rPr>
              <w:t>6.284</w:t>
            </w:r>
          </w:p>
        </w:tc>
        <w:tc>
          <w:tcPr>
            <w:tcW w:w="1760" w:type="dxa"/>
          </w:tcPr>
          <w:p>
            <w:pPr>
              <w:jc w:val="right"/>
            </w:pPr>
            <w: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511</w:t>
            </w:r>
          </w:p>
        </w:tc>
        <w:tc>
          <w:tcPr>
            <w:tcW w:w="2402" w:type="dxa"/>
          </w:tcPr>
          <w:p>
            <w:pPr>
              <w:jc w:val="both"/>
              <w:rPr>
                <w:lang w:val="sr-Cyrl-RS"/>
              </w:rPr>
            </w:pPr>
            <w:r>
              <w:rPr>
                <w:lang w:val="sr-Cyrl-RS"/>
              </w:rPr>
              <w:t>Пројектно планирање</w:t>
            </w:r>
          </w:p>
        </w:tc>
        <w:tc>
          <w:tcPr>
            <w:tcW w:w="1740" w:type="dxa"/>
          </w:tcPr>
          <w:p>
            <w:pPr>
              <w:jc w:val="right"/>
              <w:rPr>
                <w:lang w:val="sr-Cyrl-RS"/>
              </w:rPr>
            </w:pPr>
            <w:r>
              <w:rPr>
                <w:lang w:val="sr-Cyrl-RS"/>
              </w:rPr>
              <w:t>350.000</w:t>
            </w:r>
          </w:p>
        </w:tc>
        <w:tc>
          <w:tcPr>
            <w:tcW w:w="1771" w:type="dxa"/>
          </w:tcPr>
          <w:p>
            <w:pPr>
              <w:jc w:val="right"/>
              <w:rPr>
                <w:lang w:val="sr-Cyrl-RS"/>
              </w:rPr>
            </w:pPr>
            <w:r>
              <w:rPr>
                <w:lang w:val="sr-Cyrl-RS"/>
              </w:rPr>
              <w:t>0</w:t>
            </w:r>
          </w:p>
        </w:tc>
        <w:tc>
          <w:tcPr>
            <w:tcW w:w="1760" w:type="dxa"/>
          </w:tcPr>
          <w:p>
            <w:pPr>
              <w:jc w:val="right"/>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512</w:t>
            </w:r>
          </w:p>
        </w:tc>
        <w:tc>
          <w:tcPr>
            <w:tcW w:w="2402" w:type="dxa"/>
          </w:tcPr>
          <w:p>
            <w:pPr>
              <w:jc w:val="both"/>
              <w:rPr>
                <w:lang w:val="sr-Cyrl-RS"/>
              </w:rPr>
            </w:pPr>
            <w:r>
              <w:rPr>
                <w:lang w:val="sr-Cyrl-RS"/>
              </w:rPr>
              <w:t>Машине и опрема</w:t>
            </w:r>
          </w:p>
        </w:tc>
        <w:tc>
          <w:tcPr>
            <w:tcW w:w="1740" w:type="dxa"/>
          </w:tcPr>
          <w:p>
            <w:pPr>
              <w:jc w:val="right"/>
              <w:rPr>
                <w:lang w:val="sr-Cyrl-RS"/>
              </w:rPr>
            </w:pPr>
            <w:r>
              <w:rPr>
                <w:lang w:val="sr-Cyrl-RS"/>
              </w:rPr>
              <w:t>393.540</w:t>
            </w:r>
          </w:p>
        </w:tc>
        <w:tc>
          <w:tcPr>
            <w:tcW w:w="1771" w:type="dxa"/>
          </w:tcPr>
          <w:p>
            <w:pPr>
              <w:jc w:val="right"/>
              <w:rPr>
                <w:lang w:val="sr-Cyrl-RS"/>
              </w:rPr>
            </w:pPr>
            <w:r>
              <w:rPr>
                <w:lang w:val="sr-Cyrl-RS"/>
              </w:rPr>
              <w:t>152.543</w:t>
            </w:r>
          </w:p>
        </w:tc>
        <w:tc>
          <w:tcPr>
            <w:tcW w:w="1760" w:type="dxa"/>
          </w:tcPr>
          <w:p>
            <w:pPr>
              <w:jc w:val="right"/>
            </w:pPr>
            <w:r>
              <w:t>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515</w:t>
            </w:r>
          </w:p>
        </w:tc>
        <w:tc>
          <w:tcPr>
            <w:tcW w:w="2402" w:type="dxa"/>
          </w:tcPr>
          <w:p>
            <w:pPr>
              <w:jc w:val="both"/>
              <w:rPr>
                <w:lang w:val="sr-Cyrl-RS"/>
              </w:rPr>
            </w:pPr>
            <w:r>
              <w:rPr>
                <w:lang w:val="sr-Cyrl-RS"/>
              </w:rPr>
              <w:t>Компјутерски софтвет</w:t>
            </w:r>
          </w:p>
        </w:tc>
        <w:tc>
          <w:tcPr>
            <w:tcW w:w="1740" w:type="dxa"/>
          </w:tcPr>
          <w:p>
            <w:pPr>
              <w:jc w:val="right"/>
              <w:rPr>
                <w:lang w:val="sr-Cyrl-RS"/>
              </w:rPr>
            </w:pPr>
            <w:r>
              <w:rPr>
                <w:lang w:val="sr-Cyrl-RS"/>
              </w:rPr>
              <w:t>80.000</w:t>
            </w:r>
          </w:p>
        </w:tc>
        <w:tc>
          <w:tcPr>
            <w:tcW w:w="1771" w:type="dxa"/>
          </w:tcPr>
          <w:p>
            <w:pPr>
              <w:jc w:val="right"/>
              <w:rPr>
                <w:lang w:val="sr-Cyrl-RS"/>
              </w:rPr>
            </w:pPr>
            <w:r>
              <w:rPr>
                <w:lang w:val="sr-Cyrl-RS"/>
              </w:rPr>
              <w:t>0</w:t>
            </w:r>
          </w:p>
        </w:tc>
        <w:tc>
          <w:tcPr>
            <w:tcW w:w="1760" w:type="dxa"/>
          </w:tcPr>
          <w:p>
            <w:pPr>
              <w:jc w:val="right"/>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p>
        </w:tc>
        <w:tc>
          <w:tcPr>
            <w:tcW w:w="2402" w:type="dxa"/>
          </w:tcPr>
          <w:p>
            <w:pPr>
              <w:jc w:val="both"/>
              <w:rPr>
                <w:lang w:val="sr-Cyrl-RS"/>
              </w:rPr>
            </w:pPr>
            <w:r>
              <w:rPr>
                <w:lang w:val="sr-Cyrl-RS"/>
              </w:rPr>
              <w:t>У К У П Н О:</w:t>
            </w:r>
          </w:p>
        </w:tc>
        <w:tc>
          <w:tcPr>
            <w:tcW w:w="1740" w:type="dxa"/>
          </w:tcPr>
          <w:p>
            <w:pPr>
              <w:jc w:val="right"/>
              <w:rPr>
                <w:lang w:val="sr-Cyrl-RS"/>
              </w:rPr>
            </w:pPr>
            <w:r>
              <w:rPr>
                <w:lang w:val="sr-Cyrl-RS"/>
              </w:rPr>
              <w:t>20.152.140</w:t>
            </w:r>
          </w:p>
        </w:tc>
        <w:tc>
          <w:tcPr>
            <w:tcW w:w="1771" w:type="dxa"/>
          </w:tcPr>
          <w:p>
            <w:pPr>
              <w:jc w:val="right"/>
            </w:pPr>
            <w:r>
              <w:t>16.366.615</w:t>
            </w:r>
          </w:p>
        </w:tc>
        <w:tc>
          <w:tcPr>
            <w:tcW w:w="1760" w:type="dxa"/>
          </w:tcPr>
          <w:p>
            <w:pPr>
              <w:jc w:val="right"/>
            </w:pPr>
            <w:r>
              <w:t>81,22%</w:t>
            </w:r>
          </w:p>
        </w:tc>
      </w:tr>
    </w:tbl>
    <w:p>
      <w:pPr>
        <w:ind w:left="720"/>
        <w:jc w:val="both"/>
        <w:rPr>
          <w:lang w:val="sr-Cyrl-RS"/>
        </w:rPr>
      </w:pPr>
    </w:p>
    <w:p>
      <w:pPr>
        <w:jc w:val="both"/>
        <w:rPr>
          <w:lang w:val="sr-Cyrl-RS"/>
        </w:rPr>
      </w:pPr>
      <w:r>
        <w:rPr>
          <w:lang w:val="sr-Cyrl-RS"/>
        </w:rPr>
        <w:t>Како је и током 2021.године било одређених ограничења због пандемије изазване Ковидом која траје већ трећу годину, ипак је проценат реализације плана у 2021. години са већим нивоом извршења у односу на 2020. годину, јер су се услови прилагођавали мерама и програми су реализовани у складу са могућностима и препорукама надлежних органа. У складу са наведеним управо средства нису реализована за одређене намене због мањег броја одржаних семинара, нису реализована средства за пројектно планирање јер локација за Парк науке је дефинисана тек крајем године, те се средства нису ни ангажовала за ову намену, док су други трошкови уз примену економичности омогућили несметан рад установе уз предузимање свих потребних радњи за законито пословање и унапређење рада и услова рада установе.</w:t>
      </w:r>
    </w:p>
    <w:p>
      <w:pPr>
        <w:jc w:val="both"/>
        <w:rPr>
          <w:lang w:val="sr-Cyrl-RS"/>
        </w:rPr>
      </w:pPr>
      <w:r>
        <w:rPr>
          <w:lang w:val="sr-Cyrl-RS"/>
        </w:rPr>
        <w:t>У структури укупних расхода и трошкова рада Центра средства за зараде са припадајућим порезима и  доприносима на терет 11 запослених и терет  послодавца  у укупним средствима чине 64,1% и износе 10.489.876 динара.</w:t>
      </w:r>
    </w:p>
    <w:p>
      <w:pPr>
        <w:jc w:val="both"/>
        <w:rPr>
          <w:lang w:val="sr-Cyrl-RS"/>
        </w:rPr>
      </w:pPr>
      <w:r>
        <w:rPr>
          <w:lang w:val="sr-Cyrl-RS"/>
        </w:rPr>
        <w:t>Што се средстава за зараде тиче, иста су у складу са одлукама Владе Републике Србије и зараде су за 2021. годину увећана од децембарске зараде  за 3,5% (основица за остале јавне службе износила је 2.974,12 динара нето, односно од мартовске зараде примена основице у износу од 3.017,23 динара нето), што је укупно повећање за 5% у односу на плату утврђену на основу члана 27е став 54 Закона о буџетском систему. Имајући у виду да је инфлација мерена индексом потрошачких цена у 2021. години (годишња стопа инфлације: потрошачке цене у децембру 2021. године у поређењу са истим месецом претходне године повећане су за 7,9%), јасно је да зараде у јавним службама  не прате инфлацију у протеклој години.</w:t>
      </w:r>
    </w:p>
    <w:p>
      <w:pPr>
        <w:jc w:val="both"/>
        <w:rPr>
          <w:lang w:val="sr-Cyrl-RS"/>
        </w:rPr>
      </w:pPr>
      <w:r>
        <w:rPr>
          <w:lang w:val="sr-Cyrl-RS"/>
        </w:rPr>
        <w:t>Поред реалног пада зарада у 2021. години, које се исплаћују редовно,  ниво зарада запослених у Регионалном центру за професионални развој запослених  у образовању Смедерево су знатно испод просека просечних зарада у Републици Србији. Просечне нето зараде у Републици Србији у октобру месецу износе 66.048 динара, а зараде у јавном сектору износиле су 72.296 динара (саопштење РСЗ 351 од 24.12.2021. год. објављено у „Сл. листу РС“ бр. 127/21), док је просечна нето зарада за месец октобар запослених у Центру са минулим радом и  са зарадом директора у износу од 49.991 динар (зараду изнад републичког просека у 2021. години има само директорка чија је зарада са минулим радом у јавном сектору 26 година и иста за наведени месец износи 79.145,07 динара).</w:t>
      </w:r>
    </w:p>
    <w:p>
      <w:pPr>
        <w:ind w:left="720"/>
        <w:jc w:val="both"/>
        <w:rPr>
          <w:lang w:val="sr-Cyrl-RS"/>
        </w:rPr>
      </w:pPr>
    </w:p>
    <w:p>
      <w:pPr>
        <w:pStyle w:val="12"/>
        <w:numPr>
          <w:ilvl w:val="0"/>
          <w:numId w:val="2"/>
        </w:numPr>
        <w:jc w:val="both"/>
        <w:rPr>
          <w:b/>
          <w:u w:val="single"/>
          <w:lang w:val="sr-Cyrl-RS"/>
        </w:rPr>
      </w:pPr>
      <w:r>
        <w:rPr>
          <w:b/>
          <w:u w:val="single"/>
          <w:lang w:val="sr-Cyrl-RS"/>
        </w:rPr>
        <w:t>ГОДИШЊИ ИЗВЕШТАЈ О УЧИНКУ ПРОГРАМА ЗА 2021. ГОДИНУ</w:t>
      </w:r>
    </w:p>
    <w:p>
      <w:pPr>
        <w:jc w:val="both"/>
        <w:rPr>
          <w:lang w:val="sr-Cyrl-RS"/>
        </w:rPr>
      </w:pPr>
    </w:p>
    <w:p>
      <w:pPr>
        <w:ind w:firstLine="360"/>
        <w:jc w:val="both"/>
        <w:rPr>
          <w:lang w:val="sr-Cyrl-RS"/>
        </w:rPr>
      </w:pPr>
      <w:r>
        <w:rPr>
          <w:lang w:val="sr-Cyrl-RS"/>
        </w:rPr>
        <w:t xml:space="preserve">Регионални центар за професионални развој запослених у образовању Смедерево своју програмску активност реализује као саставни део Буџета града Смедерева </w:t>
      </w:r>
      <w:r>
        <w:t xml:space="preserve"> </w:t>
      </w:r>
      <w:r>
        <w:rPr>
          <w:lang w:val="sr-Cyrl-RS"/>
        </w:rPr>
        <w:t xml:space="preserve"> кроз ПРОГРАМ 10: Средње образовање, Програмска активност 2003 (ПА 0003)- Фунционисање установа за стручно усавршавање запослених и Одлуком о буџету Града Смедерева за 2021. годину за наведене активности Центра из средстава Буџета су опредељена средства по другом ребалансу  у износу од 19.842.725,00 динара, а из  сопствених пренетих  средства из претходне године у износу од 309.415, 00 динара, што је укупан износ од 20.152.140,00 динара.</w:t>
      </w:r>
    </w:p>
    <w:p>
      <w:pPr>
        <w:ind w:firstLine="360"/>
        <w:jc w:val="both"/>
        <w:rPr>
          <w:lang w:val="sr-Cyrl-RS"/>
        </w:rPr>
      </w:pPr>
    </w:p>
    <w:p>
      <w:pPr>
        <w:ind w:firstLine="360"/>
        <w:jc w:val="both"/>
        <w:rPr>
          <w:lang w:val="sr-Cyrl-RS"/>
        </w:rPr>
      </w:pPr>
      <w:r>
        <w:rPr>
          <w:lang w:val="sr-Cyrl-RS"/>
        </w:rPr>
        <w:t>Регионални центар за стручно усавршавање запослених у образовању, своју основну програмску активност усмерава на одржавање акредитованих семинара за стручно усавршавање наставника, васпитача и стручних сарадника, а који су акредитовани и објављени у каталогу Завода за унапређивање образовања и васпитања Београд за период школских 2018/19, 2019/20 и 2020/21, а  који су због пандемије   изазване Ковидом  у примени и за  школску 2021/2022.  годину, јер се акредитација за нов трогодишњи циклус тек споводи.  Преко Регионалног центра Смедерево за наведени период  је акредитовано   8 семинара и то:</w:t>
      </w:r>
    </w:p>
    <w:p>
      <w:pPr>
        <w:ind w:firstLine="360"/>
        <w:jc w:val="both"/>
        <w:rPr>
          <w:lang w:val="sr-Cyrl-R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245"/>
        <w:gridCol w:w="2300"/>
        <w:gridCol w:w="3112"/>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12" w:type="dxa"/>
            <w:shd w:val="clear" w:color="auto" w:fill="auto"/>
          </w:tcPr>
          <w:p>
            <w:pPr>
              <w:jc w:val="both"/>
              <w:rPr>
                <w:lang w:val="sr-Cyrl-RS"/>
              </w:rPr>
            </w:pPr>
            <w:r>
              <w:rPr>
                <w:lang w:val="sr-Cyrl-RS"/>
              </w:rPr>
              <w:t xml:space="preserve">Р.бр. </w:t>
            </w:r>
          </w:p>
        </w:tc>
        <w:tc>
          <w:tcPr>
            <w:tcW w:w="1364" w:type="dxa"/>
            <w:shd w:val="clear" w:color="auto" w:fill="auto"/>
          </w:tcPr>
          <w:p>
            <w:pPr>
              <w:jc w:val="both"/>
              <w:rPr>
                <w:lang w:val="sr-Cyrl-RS"/>
              </w:rPr>
            </w:pPr>
            <w:r>
              <w:rPr>
                <w:lang w:val="sr-Cyrl-RS"/>
              </w:rPr>
              <w:t>Каталошки број</w:t>
            </w:r>
          </w:p>
        </w:tc>
        <w:tc>
          <w:tcPr>
            <w:tcW w:w="2427" w:type="dxa"/>
            <w:shd w:val="clear" w:color="auto" w:fill="auto"/>
          </w:tcPr>
          <w:p>
            <w:pPr>
              <w:jc w:val="both"/>
              <w:rPr>
                <w:lang w:val="sr-Cyrl-RS"/>
              </w:rPr>
            </w:pPr>
            <w:r>
              <w:rPr>
                <w:lang w:val="sr-Cyrl-RS"/>
              </w:rPr>
              <w:t>Компетенције</w:t>
            </w:r>
          </w:p>
        </w:tc>
        <w:tc>
          <w:tcPr>
            <w:tcW w:w="3461" w:type="dxa"/>
            <w:shd w:val="clear" w:color="auto" w:fill="auto"/>
          </w:tcPr>
          <w:p>
            <w:pPr>
              <w:jc w:val="both"/>
              <w:rPr>
                <w:lang w:val="sr-Cyrl-RS"/>
              </w:rPr>
            </w:pPr>
            <w:r>
              <w:rPr>
                <w:lang w:val="sr-Cyrl-RS"/>
              </w:rPr>
              <w:t xml:space="preserve">Назив семинара </w:t>
            </w:r>
          </w:p>
        </w:tc>
        <w:tc>
          <w:tcPr>
            <w:tcW w:w="1942" w:type="dxa"/>
            <w:shd w:val="clear" w:color="auto" w:fill="auto"/>
          </w:tcPr>
          <w:p>
            <w:pPr>
              <w:jc w:val="both"/>
              <w:rPr>
                <w:lang w:val="sr-Cyrl-RS"/>
              </w:rPr>
            </w:pPr>
            <w:r>
              <w:rPr>
                <w:lang w:val="sr-Cyrl-RS"/>
              </w:rPr>
              <w:t>Област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1</w:t>
            </w:r>
          </w:p>
        </w:tc>
        <w:tc>
          <w:tcPr>
            <w:tcW w:w="1364" w:type="dxa"/>
            <w:shd w:val="clear" w:color="auto" w:fill="auto"/>
          </w:tcPr>
          <w:p>
            <w:pPr>
              <w:jc w:val="both"/>
              <w:rPr>
                <w:sz w:val="22"/>
                <w:szCs w:val="22"/>
                <w:lang w:val="sr-Cyrl-RS"/>
              </w:rPr>
            </w:pPr>
            <w:r>
              <w:rPr>
                <w:sz w:val="22"/>
                <w:szCs w:val="22"/>
                <w:lang w:val="sr-Cyrl-RS"/>
              </w:rPr>
              <w:t>213</w:t>
            </w:r>
          </w:p>
        </w:tc>
        <w:tc>
          <w:tcPr>
            <w:tcW w:w="2427" w:type="dxa"/>
            <w:shd w:val="clear" w:color="auto" w:fill="auto"/>
          </w:tcPr>
          <w:p>
            <w:pPr>
              <w:jc w:val="both"/>
              <w:rPr>
                <w:sz w:val="22"/>
                <w:szCs w:val="22"/>
                <w:lang w:val="sr-Cyrl-RS"/>
              </w:rPr>
            </w:pPr>
            <w:r>
              <w:rPr>
                <w:sz w:val="22"/>
                <w:szCs w:val="22"/>
                <w:lang w:val="sr-Cyrl-RS"/>
              </w:rPr>
              <w:t>Подршка развоју личности детета и ученика</w:t>
            </w:r>
          </w:p>
        </w:tc>
        <w:tc>
          <w:tcPr>
            <w:tcW w:w="3461" w:type="dxa"/>
            <w:shd w:val="clear" w:color="auto" w:fill="auto"/>
          </w:tcPr>
          <w:p>
            <w:pPr>
              <w:jc w:val="both"/>
              <w:rPr>
                <w:sz w:val="22"/>
                <w:szCs w:val="22"/>
                <w:lang w:val="sr-Cyrl-RS"/>
              </w:rPr>
            </w:pPr>
            <w:r>
              <w:rPr>
                <w:sz w:val="22"/>
                <w:szCs w:val="22"/>
                <w:lang w:val="sr-Cyrl-RS"/>
              </w:rPr>
              <w:t>Сарадња васпитно-образовних установа и центара за социјални рад у породично-правној заштити деце и ученика од свих облика дискриминације и итиологије поремећаја у понашању</w:t>
            </w:r>
          </w:p>
        </w:tc>
        <w:tc>
          <w:tcPr>
            <w:tcW w:w="1942" w:type="dxa"/>
            <w:shd w:val="clear" w:color="auto" w:fill="auto"/>
          </w:tcPr>
          <w:p>
            <w:pPr>
              <w:jc w:val="both"/>
              <w:rPr>
                <w:sz w:val="22"/>
                <w:szCs w:val="22"/>
                <w:lang w:val="sr-Cyrl-RS"/>
              </w:rPr>
            </w:pPr>
            <w:r>
              <w:rPr>
                <w:sz w:val="22"/>
                <w:szCs w:val="22"/>
                <w:lang w:val="sr-Cyrl-RS"/>
              </w:rPr>
              <w:t>Деца/ученици којима је потребна додатна подршка у образовању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2</w:t>
            </w:r>
          </w:p>
        </w:tc>
        <w:tc>
          <w:tcPr>
            <w:tcW w:w="1364" w:type="dxa"/>
            <w:shd w:val="clear" w:color="auto" w:fill="auto"/>
          </w:tcPr>
          <w:p>
            <w:pPr>
              <w:jc w:val="both"/>
              <w:rPr>
                <w:sz w:val="22"/>
                <w:szCs w:val="22"/>
                <w:lang w:val="sr-Cyrl-RS"/>
              </w:rPr>
            </w:pPr>
            <w:r>
              <w:rPr>
                <w:sz w:val="22"/>
                <w:szCs w:val="22"/>
                <w:lang w:val="sr-Cyrl-RS"/>
              </w:rPr>
              <w:t>230</w:t>
            </w:r>
          </w:p>
        </w:tc>
        <w:tc>
          <w:tcPr>
            <w:tcW w:w="2427" w:type="dxa"/>
            <w:shd w:val="clear" w:color="auto" w:fill="auto"/>
          </w:tcPr>
          <w:p>
            <w:pPr>
              <w:jc w:val="both"/>
              <w:rPr>
                <w:sz w:val="22"/>
                <w:szCs w:val="22"/>
                <w:lang w:val="sr-Cyrl-RS"/>
              </w:rPr>
            </w:pPr>
            <w:r>
              <w:rPr>
                <w:sz w:val="22"/>
                <w:szCs w:val="22"/>
                <w:lang w:val="sr-Cyrl-RS"/>
              </w:rPr>
              <w:t>За поучавање и учење</w:t>
            </w:r>
          </w:p>
        </w:tc>
        <w:tc>
          <w:tcPr>
            <w:tcW w:w="3461" w:type="dxa"/>
            <w:shd w:val="clear" w:color="auto" w:fill="auto"/>
          </w:tcPr>
          <w:p>
            <w:pPr>
              <w:jc w:val="both"/>
              <w:rPr>
                <w:sz w:val="22"/>
                <w:szCs w:val="22"/>
                <w:lang w:val="sr-Cyrl-RS"/>
              </w:rPr>
            </w:pPr>
            <w:r>
              <w:rPr>
                <w:sz w:val="22"/>
                <w:szCs w:val="22"/>
                <w:lang w:val="sr-Cyrl-RS"/>
              </w:rPr>
              <w:t>Филм и филмска анимација као иновативно дидактичко средство у курукулуму</w:t>
            </w:r>
          </w:p>
        </w:tc>
        <w:tc>
          <w:tcPr>
            <w:tcW w:w="1942" w:type="dxa"/>
            <w:shd w:val="clear" w:color="auto" w:fill="auto"/>
          </w:tcPr>
          <w:p>
            <w:pPr>
              <w:jc w:val="both"/>
              <w:rPr>
                <w:sz w:val="22"/>
                <w:szCs w:val="22"/>
                <w:lang w:val="sr-Cyrl-RS"/>
              </w:rPr>
            </w:pPr>
            <w:r>
              <w:rPr>
                <w:sz w:val="22"/>
                <w:szCs w:val="22"/>
                <w:lang w:val="sr-Cyrl-RS"/>
              </w:rPr>
              <w:t>Друштвене науке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3</w:t>
            </w:r>
          </w:p>
        </w:tc>
        <w:tc>
          <w:tcPr>
            <w:tcW w:w="1364" w:type="dxa"/>
            <w:shd w:val="clear" w:color="auto" w:fill="auto"/>
          </w:tcPr>
          <w:p>
            <w:pPr>
              <w:jc w:val="both"/>
              <w:rPr>
                <w:sz w:val="22"/>
                <w:szCs w:val="22"/>
                <w:lang w:val="sr-Cyrl-RS"/>
              </w:rPr>
            </w:pPr>
            <w:r>
              <w:rPr>
                <w:sz w:val="22"/>
                <w:szCs w:val="22"/>
                <w:lang w:val="sr-Cyrl-RS"/>
              </w:rPr>
              <w:t>279</w:t>
            </w:r>
          </w:p>
        </w:tc>
        <w:tc>
          <w:tcPr>
            <w:tcW w:w="2427" w:type="dxa"/>
            <w:shd w:val="clear" w:color="auto" w:fill="auto"/>
          </w:tcPr>
          <w:p>
            <w:pPr>
              <w:jc w:val="both"/>
              <w:rPr>
                <w:sz w:val="22"/>
                <w:szCs w:val="22"/>
                <w:lang w:val="sr-Cyrl-RS"/>
              </w:rPr>
            </w:pPr>
            <w:r>
              <w:rPr>
                <w:sz w:val="22"/>
                <w:szCs w:val="22"/>
                <w:lang w:val="sr-Cyrl-RS"/>
              </w:rPr>
              <w:t>За поучавање и учење</w:t>
            </w:r>
          </w:p>
        </w:tc>
        <w:tc>
          <w:tcPr>
            <w:tcW w:w="3461" w:type="dxa"/>
            <w:shd w:val="clear" w:color="auto" w:fill="auto"/>
          </w:tcPr>
          <w:p>
            <w:pPr>
              <w:jc w:val="both"/>
              <w:rPr>
                <w:sz w:val="22"/>
                <w:szCs w:val="22"/>
                <w:lang w:val="sr-Cyrl-RS"/>
              </w:rPr>
            </w:pPr>
            <w:r>
              <w:rPr>
                <w:sz w:val="22"/>
                <w:szCs w:val="22"/>
                <w:lang w:val="sr-Cyrl-RS"/>
              </w:rPr>
              <w:t>Технике израде маске за обичајно-обредне поворке-народна традиција</w:t>
            </w:r>
          </w:p>
        </w:tc>
        <w:tc>
          <w:tcPr>
            <w:tcW w:w="1942" w:type="dxa"/>
            <w:shd w:val="clear" w:color="auto" w:fill="auto"/>
          </w:tcPr>
          <w:p>
            <w:pPr>
              <w:jc w:val="both"/>
              <w:rPr>
                <w:sz w:val="22"/>
                <w:szCs w:val="22"/>
                <w:lang w:val="sr-Cyrl-RS"/>
              </w:rPr>
            </w:pPr>
            <w:r>
              <w:rPr>
                <w:sz w:val="22"/>
                <w:szCs w:val="22"/>
                <w:lang w:val="sr-Cyrl-RS"/>
              </w:rPr>
              <w:t>Изборни и факултативни предмети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4</w:t>
            </w:r>
          </w:p>
        </w:tc>
        <w:tc>
          <w:tcPr>
            <w:tcW w:w="1364" w:type="dxa"/>
            <w:shd w:val="clear" w:color="auto" w:fill="auto"/>
          </w:tcPr>
          <w:p>
            <w:pPr>
              <w:jc w:val="both"/>
              <w:rPr>
                <w:sz w:val="22"/>
                <w:szCs w:val="22"/>
                <w:lang w:val="sr-Cyrl-RS"/>
              </w:rPr>
            </w:pPr>
            <w:r>
              <w:rPr>
                <w:sz w:val="22"/>
                <w:szCs w:val="22"/>
                <w:lang w:val="sr-Cyrl-RS"/>
              </w:rPr>
              <w:t>358</w:t>
            </w:r>
          </w:p>
        </w:tc>
        <w:tc>
          <w:tcPr>
            <w:tcW w:w="2427" w:type="dxa"/>
            <w:shd w:val="clear" w:color="auto" w:fill="auto"/>
          </w:tcPr>
          <w:p>
            <w:pPr>
              <w:jc w:val="both"/>
              <w:rPr>
                <w:sz w:val="22"/>
                <w:szCs w:val="22"/>
                <w:lang w:val="sr-Cyrl-RS"/>
              </w:rPr>
            </w:pPr>
            <w:r>
              <w:rPr>
                <w:sz w:val="22"/>
                <w:szCs w:val="22"/>
                <w:lang w:val="sr-Cyrl-RS"/>
              </w:rPr>
              <w:t>Ужа стручна област</w:t>
            </w:r>
          </w:p>
        </w:tc>
        <w:tc>
          <w:tcPr>
            <w:tcW w:w="3461" w:type="dxa"/>
            <w:shd w:val="clear" w:color="auto" w:fill="auto"/>
          </w:tcPr>
          <w:p>
            <w:pPr>
              <w:jc w:val="both"/>
              <w:rPr>
                <w:sz w:val="22"/>
                <w:szCs w:val="22"/>
                <w:lang w:val="sr-Cyrl-RS"/>
              </w:rPr>
            </w:pPr>
            <w:r>
              <w:rPr>
                <w:sz w:val="22"/>
                <w:szCs w:val="22"/>
                <w:lang w:val="sr-Cyrl-RS"/>
              </w:rPr>
              <w:t>Подршка ученику кроз индивидуализацију и пројектни рад у настави математике</w:t>
            </w:r>
          </w:p>
        </w:tc>
        <w:tc>
          <w:tcPr>
            <w:tcW w:w="1942" w:type="dxa"/>
            <w:shd w:val="clear" w:color="auto" w:fill="auto"/>
          </w:tcPr>
          <w:p>
            <w:pPr>
              <w:jc w:val="both"/>
              <w:rPr>
                <w:sz w:val="22"/>
                <w:szCs w:val="22"/>
                <w:lang w:val="sr-Cyrl-RS"/>
              </w:rPr>
            </w:pPr>
            <w:r>
              <w:rPr>
                <w:sz w:val="22"/>
                <w:szCs w:val="22"/>
                <w:lang w:val="sr-Cyrl-RS"/>
              </w:rPr>
              <w:t>Математика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5</w:t>
            </w:r>
          </w:p>
        </w:tc>
        <w:tc>
          <w:tcPr>
            <w:tcW w:w="1364" w:type="dxa"/>
            <w:shd w:val="clear" w:color="auto" w:fill="auto"/>
          </w:tcPr>
          <w:p>
            <w:pPr>
              <w:jc w:val="both"/>
              <w:rPr>
                <w:sz w:val="22"/>
                <w:szCs w:val="22"/>
                <w:lang w:val="sr-Cyrl-RS"/>
              </w:rPr>
            </w:pPr>
            <w:r>
              <w:rPr>
                <w:sz w:val="22"/>
                <w:szCs w:val="22"/>
                <w:lang w:val="sr-Cyrl-RS"/>
              </w:rPr>
              <w:t>820</w:t>
            </w:r>
          </w:p>
        </w:tc>
        <w:tc>
          <w:tcPr>
            <w:tcW w:w="2427" w:type="dxa"/>
            <w:shd w:val="clear" w:color="auto" w:fill="auto"/>
          </w:tcPr>
          <w:p>
            <w:pPr>
              <w:jc w:val="both"/>
              <w:rPr>
                <w:sz w:val="22"/>
                <w:szCs w:val="22"/>
                <w:lang w:val="sr-Cyrl-RS"/>
              </w:rPr>
            </w:pPr>
            <w:r>
              <w:rPr>
                <w:sz w:val="22"/>
                <w:szCs w:val="22"/>
                <w:lang w:val="sr-Cyrl-RS"/>
              </w:rPr>
              <w:t>За поучавање и учење</w:t>
            </w:r>
          </w:p>
        </w:tc>
        <w:tc>
          <w:tcPr>
            <w:tcW w:w="3461" w:type="dxa"/>
            <w:shd w:val="clear" w:color="auto" w:fill="auto"/>
          </w:tcPr>
          <w:p>
            <w:pPr>
              <w:jc w:val="both"/>
              <w:rPr>
                <w:sz w:val="22"/>
                <w:szCs w:val="22"/>
                <w:lang w:val="sr-Cyrl-RS"/>
              </w:rPr>
            </w:pPr>
            <w:r>
              <w:rPr>
                <w:sz w:val="22"/>
                <w:szCs w:val="22"/>
                <w:lang w:val="sr-Cyrl-RS"/>
              </w:rPr>
              <w:t>Управљање пројектима из области заштите животне средине</w:t>
            </w:r>
          </w:p>
        </w:tc>
        <w:tc>
          <w:tcPr>
            <w:tcW w:w="1942" w:type="dxa"/>
            <w:shd w:val="clear" w:color="auto" w:fill="auto"/>
          </w:tcPr>
          <w:p>
            <w:pPr>
              <w:jc w:val="both"/>
              <w:rPr>
                <w:sz w:val="22"/>
                <w:szCs w:val="22"/>
                <w:lang w:val="sr-Cyrl-RS"/>
              </w:rPr>
            </w:pPr>
            <w:r>
              <w:rPr>
                <w:sz w:val="22"/>
                <w:szCs w:val="22"/>
                <w:lang w:val="sr-Cyrl-RS"/>
              </w:rPr>
              <w:t>Природне науке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6</w:t>
            </w:r>
          </w:p>
        </w:tc>
        <w:tc>
          <w:tcPr>
            <w:tcW w:w="1364" w:type="dxa"/>
            <w:shd w:val="clear" w:color="auto" w:fill="auto"/>
          </w:tcPr>
          <w:p>
            <w:pPr>
              <w:jc w:val="both"/>
              <w:rPr>
                <w:sz w:val="22"/>
                <w:szCs w:val="22"/>
                <w:lang w:val="sr-Cyrl-RS"/>
              </w:rPr>
            </w:pPr>
            <w:r>
              <w:rPr>
                <w:sz w:val="22"/>
                <w:szCs w:val="22"/>
                <w:lang w:val="sr-Cyrl-RS"/>
              </w:rPr>
              <w:t>829</w:t>
            </w:r>
          </w:p>
        </w:tc>
        <w:tc>
          <w:tcPr>
            <w:tcW w:w="2427" w:type="dxa"/>
            <w:shd w:val="clear" w:color="auto" w:fill="auto"/>
          </w:tcPr>
          <w:p>
            <w:pPr>
              <w:jc w:val="both"/>
              <w:rPr>
                <w:sz w:val="22"/>
                <w:szCs w:val="22"/>
                <w:lang w:val="sr-Cyrl-RS"/>
              </w:rPr>
            </w:pPr>
            <w:r>
              <w:rPr>
                <w:sz w:val="22"/>
                <w:szCs w:val="22"/>
                <w:lang w:val="sr-Cyrl-RS"/>
              </w:rPr>
              <w:t>Ужа стручна област</w:t>
            </w:r>
          </w:p>
        </w:tc>
        <w:tc>
          <w:tcPr>
            <w:tcW w:w="3461" w:type="dxa"/>
            <w:shd w:val="clear" w:color="auto" w:fill="auto"/>
          </w:tcPr>
          <w:p>
            <w:pPr>
              <w:jc w:val="both"/>
              <w:rPr>
                <w:sz w:val="22"/>
                <w:szCs w:val="22"/>
                <w:lang w:val="sr-Cyrl-RS"/>
              </w:rPr>
            </w:pPr>
            <w:r>
              <w:rPr>
                <w:sz w:val="22"/>
                <w:szCs w:val="22"/>
                <w:lang w:val="sr-Cyrl-RS"/>
              </w:rPr>
              <w:t>Методички приступ обраде књижевности у млађим разредима основне школе</w:t>
            </w:r>
          </w:p>
        </w:tc>
        <w:tc>
          <w:tcPr>
            <w:tcW w:w="1942" w:type="dxa"/>
            <w:shd w:val="clear" w:color="auto" w:fill="auto"/>
          </w:tcPr>
          <w:p>
            <w:pPr>
              <w:jc w:val="both"/>
              <w:rPr>
                <w:sz w:val="22"/>
                <w:szCs w:val="22"/>
                <w:lang w:val="sr-Cyrl-RS"/>
              </w:rPr>
            </w:pPr>
            <w:r>
              <w:rPr>
                <w:sz w:val="22"/>
                <w:szCs w:val="22"/>
                <w:lang w:val="sr-Cyrl-RS"/>
              </w:rPr>
              <w:t>Српски језик и књижевност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7</w:t>
            </w:r>
          </w:p>
        </w:tc>
        <w:tc>
          <w:tcPr>
            <w:tcW w:w="1364" w:type="dxa"/>
            <w:shd w:val="clear" w:color="auto" w:fill="auto"/>
          </w:tcPr>
          <w:p>
            <w:pPr>
              <w:jc w:val="both"/>
              <w:rPr>
                <w:sz w:val="22"/>
                <w:szCs w:val="22"/>
                <w:lang w:val="sr-Cyrl-RS"/>
              </w:rPr>
            </w:pPr>
            <w:r>
              <w:rPr>
                <w:sz w:val="22"/>
                <w:szCs w:val="22"/>
                <w:lang w:val="sr-Cyrl-RS"/>
              </w:rPr>
              <w:t>863</w:t>
            </w:r>
          </w:p>
        </w:tc>
        <w:tc>
          <w:tcPr>
            <w:tcW w:w="2427" w:type="dxa"/>
            <w:shd w:val="clear" w:color="auto" w:fill="auto"/>
          </w:tcPr>
          <w:p>
            <w:pPr>
              <w:jc w:val="both"/>
              <w:rPr>
                <w:sz w:val="22"/>
                <w:szCs w:val="22"/>
                <w:lang w:val="sr-Cyrl-RS"/>
              </w:rPr>
            </w:pPr>
            <w:r>
              <w:rPr>
                <w:sz w:val="22"/>
                <w:szCs w:val="22"/>
                <w:lang w:val="sr-Cyrl-RS"/>
              </w:rPr>
              <w:t>Ужа стручна област</w:t>
            </w:r>
          </w:p>
        </w:tc>
        <w:tc>
          <w:tcPr>
            <w:tcW w:w="3461" w:type="dxa"/>
            <w:shd w:val="clear" w:color="auto" w:fill="auto"/>
          </w:tcPr>
          <w:p>
            <w:pPr>
              <w:jc w:val="both"/>
              <w:rPr>
                <w:sz w:val="22"/>
                <w:szCs w:val="22"/>
                <w:lang w:val="sr-Cyrl-RS"/>
              </w:rPr>
            </w:pPr>
            <w:r>
              <w:rPr>
                <w:sz w:val="22"/>
                <w:szCs w:val="22"/>
                <w:lang w:val="sr-Cyrl-RS"/>
              </w:rPr>
              <w:t>Концепт вишеструких интелигенција у настави страних језика</w:t>
            </w:r>
          </w:p>
        </w:tc>
        <w:tc>
          <w:tcPr>
            <w:tcW w:w="1942" w:type="dxa"/>
            <w:shd w:val="clear" w:color="auto" w:fill="auto"/>
          </w:tcPr>
          <w:p>
            <w:pPr>
              <w:jc w:val="both"/>
              <w:rPr>
                <w:sz w:val="22"/>
                <w:szCs w:val="22"/>
                <w:lang w:val="sr-Cyrl-RS"/>
              </w:rPr>
            </w:pPr>
            <w:r>
              <w:rPr>
                <w:sz w:val="22"/>
                <w:szCs w:val="22"/>
                <w:lang w:val="sr-Cyrl-RS"/>
              </w:rPr>
              <w:t>Страни језик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tcPr>
          <w:p>
            <w:pPr>
              <w:jc w:val="both"/>
              <w:rPr>
                <w:sz w:val="22"/>
                <w:szCs w:val="22"/>
                <w:lang w:val="sr-Cyrl-RS"/>
              </w:rPr>
            </w:pPr>
            <w:r>
              <w:rPr>
                <w:sz w:val="22"/>
                <w:szCs w:val="22"/>
                <w:lang w:val="sr-Cyrl-RS"/>
              </w:rPr>
              <w:t>8</w:t>
            </w:r>
          </w:p>
        </w:tc>
        <w:tc>
          <w:tcPr>
            <w:tcW w:w="1364" w:type="dxa"/>
            <w:shd w:val="clear" w:color="auto" w:fill="auto"/>
          </w:tcPr>
          <w:p>
            <w:pPr>
              <w:jc w:val="both"/>
              <w:rPr>
                <w:sz w:val="22"/>
                <w:szCs w:val="22"/>
                <w:lang w:val="sr-Cyrl-RS"/>
              </w:rPr>
            </w:pPr>
            <w:r>
              <w:rPr>
                <w:sz w:val="22"/>
                <w:szCs w:val="22"/>
                <w:lang w:val="sr-Cyrl-RS"/>
              </w:rPr>
              <w:t>945</w:t>
            </w:r>
          </w:p>
        </w:tc>
        <w:tc>
          <w:tcPr>
            <w:tcW w:w="2427" w:type="dxa"/>
            <w:shd w:val="clear" w:color="auto" w:fill="auto"/>
          </w:tcPr>
          <w:p>
            <w:pPr>
              <w:jc w:val="both"/>
              <w:rPr>
                <w:sz w:val="22"/>
                <w:szCs w:val="22"/>
                <w:lang w:val="sr-Cyrl-RS"/>
              </w:rPr>
            </w:pPr>
            <w:r>
              <w:rPr>
                <w:sz w:val="22"/>
                <w:szCs w:val="22"/>
                <w:lang w:val="sr-Cyrl-RS"/>
              </w:rPr>
              <w:t>Ужа стручна област</w:t>
            </w:r>
          </w:p>
        </w:tc>
        <w:tc>
          <w:tcPr>
            <w:tcW w:w="3461" w:type="dxa"/>
            <w:shd w:val="clear" w:color="auto" w:fill="auto"/>
          </w:tcPr>
          <w:p>
            <w:pPr>
              <w:jc w:val="both"/>
              <w:rPr>
                <w:sz w:val="22"/>
                <w:szCs w:val="22"/>
                <w:lang w:val="sr-Cyrl-RS"/>
              </w:rPr>
            </w:pPr>
            <w:r>
              <w:rPr>
                <w:sz w:val="22"/>
                <w:szCs w:val="22"/>
                <w:lang w:val="sr-Cyrl-RS"/>
              </w:rPr>
              <w:t>Корелација и међупредметно повезивање у настави музичке културе и уметности</w:t>
            </w:r>
          </w:p>
        </w:tc>
        <w:tc>
          <w:tcPr>
            <w:tcW w:w="1942" w:type="dxa"/>
            <w:shd w:val="clear" w:color="auto" w:fill="auto"/>
          </w:tcPr>
          <w:p>
            <w:pPr>
              <w:jc w:val="both"/>
              <w:rPr>
                <w:sz w:val="22"/>
                <w:szCs w:val="22"/>
                <w:lang w:val="sr-Cyrl-RS"/>
              </w:rPr>
            </w:pPr>
            <w:r>
              <w:rPr>
                <w:sz w:val="22"/>
                <w:szCs w:val="22"/>
                <w:lang w:val="sr-Cyrl-RS"/>
              </w:rPr>
              <w:t>Уметност</w:t>
            </w:r>
          </w:p>
        </w:tc>
      </w:tr>
    </w:tbl>
    <w:p>
      <w:pPr>
        <w:ind w:firstLine="360"/>
        <w:jc w:val="both"/>
        <w:rPr>
          <w:lang w:val="sr-Cyrl-RS"/>
        </w:rPr>
      </w:pPr>
    </w:p>
    <w:p>
      <w:pPr>
        <w:jc w:val="both"/>
        <w:rPr>
          <w:lang w:val="sr-Cyrl-RS"/>
        </w:rPr>
      </w:pPr>
      <w:r>
        <w:rPr>
          <w:lang w:val="sr-Cyrl-RS"/>
        </w:rPr>
        <w:tab/>
      </w:r>
      <w:r>
        <w:rPr>
          <w:lang w:val="sr-Cyrl-RS"/>
        </w:rPr>
        <w:t>Циљ стручног усавршавања запослених у образовању је да наставни кадар у Смедереву, и у ширем окружењу, добије услове за свој стручни напредак, а уједно и испуни законске обавезе везане за тај процес.</w:t>
      </w:r>
    </w:p>
    <w:p>
      <w:pPr>
        <w:jc w:val="both"/>
        <w:rPr>
          <w:lang w:val="sr-Cyrl-RS"/>
        </w:rPr>
      </w:pPr>
      <w:r>
        <w:rPr>
          <w:lang w:val="sr-Cyrl-RS"/>
        </w:rPr>
        <w:tab/>
      </w:r>
      <w:r>
        <w:rPr>
          <w:lang w:val="sr-Cyrl-RS"/>
        </w:rPr>
        <w:t xml:space="preserve">На основу Новог Правилника о сталном стручном усавршавању и напредовању у звање наставника, васпитача и стручних сарадника који је донет 19. новембра 2021. године, 22. новембра 2021. године расписан је конкурс Завода за унапређење образовања и васпитања  за одобравање програма сталног стручног усаршавања наставника, васпитача и стручних сарадника за школску 2022/2023, 2023/2024 и 2024/2025 годину и исти  је трајао до 25. децембра 2021. године. Преко Регионалног центра на конкурс је пријављено за програме аутора 15 програма, док је један програм наших сарадника акредитован  преко Мреже РЦ и ЦСУ.  О резултатима конкурса Завод ће у писаној форми обавестити учеснике најкасније до краја јуна 2022. године, али према садржају и областима оцењујемо изузетан квалитет понуђених пројеката.  За сваког реализатора за по један програм акредитацију Заводу платио је  Регионални центар, као и Мрежа РЦ И ЦСУ  по један програм за сваки Центар из Мреже,  а за сваки наредни реализатори су извршили уплату у износу од 14.400,00 динара (уплата за 3 програма). </w:t>
      </w:r>
    </w:p>
    <w:p>
      <w:pPr>
        <w:jc w:val="both"/>
        <w:rPr>
          <w:lang w:val="sr-Cyrl-RS"/>
        </w:rPr>
      </w:pPr>
      <w:r>
        <w:rPr>
          <w:lang w:val="sr-Cyrl-RS"/>
        </w:rPr>
        <w:tab/>
      </w:r>
      <w:r>
        <w:rPr>
          <w:lang w:val="sr-Cyrl-RS"/>
        </w:rPr>
        <w:t>Поред семинара постоје и други видови едукација како за запослене у просвети, тако и у делатностима ван просвете, тако да организујући трибине, стручне скупове, предавања, радионице, округле столове, конференције, саветовања, презентације и многе друге разноврсне догађаје и дешавања постижемо добијање додатних информација и знања.</w:t>
      </w:r>
    </w:p>
    <w:p>
      <w:pPr>
        <w:jc w:val="both"/>
        <w:rPr>
          <w:b/>
          <w:u w:val="single"/>
          <w:lang w:val="sr-Cyrl-RS"/>
        </w:rPr>
      </w:pPr>
      <w:r>
        <w:rPr>
          <w:b/>
          <w:u w:val="single"/>
          <w:lang w:val="sr-Cyrl-RS"/>
        </w:rPr>
        <w:t>Организација семинара за образовање:</w:t>
      </w:r>
    </w:p>
    <w:p>
      <w:pPr>
        <w:ind w:firstLine="720"/>
        <w:jc w:val="both"/>
      </w:pPr>
      <w:r>
        <w:rPr>
          <w:lang w:val="sr-Cyrl-RS"/>
        </w:rPr>
        <w:t>У спровођењу програмског задатка, држали смо се задатих параметара, на основу базних вредности и предвиђених циљева задатих програмом рада за 2021. годину. Основна делатност, одржавање семинара стручног усавршавања, спровођена је како у  седишту у Центру за професионални развој, тако и у региону школске управе Пожаревац под чијем смо окриљем. На основу прикупљених информација приликом испитивања потреба наставног кадра, одржан је знатно мањи број семинара, а што је последица епидемије изазване Ковидом 19, што је утицало у знатној мери на организацију школског образовног система</w:t>
      </w:r>
    </w:p>
    <w:p>
      <w:pPr>
        <w:ind w:firstLine="720"/>
        <w:jc w:val="both"/>
        <w:rPr>
          <w:lang w:val="sr-Cyrl-CS"/>
        </w:rPr>
      </w:pPr>
      <w:r>
        <w:rPr>
          <w:b/>
          <w:lang w:val="sr-Cyrl-CS"/>
        </w:rPr>
        <w:t>У периоду јануар-</w:t>
      </w:r>
      <w:r>
        <w:rPr>
          <w:b/>
          <w:lang w:val="sr-Cyrl-RS"/>
        </w:rPr>
        <w:t xml:space="preserve">децембар </w:t>
      </w:r>
      <w:r>
        <w:rPr>
          <w:b/>
        </w:rPr>
        <w:t xml:space="preserve"> 202</w:t>
      </w:r>
      <w:r>
        <w:rPr>
          <w:b/>
          <w:lang w:val="sr-Cyrl-RS"/>
        </w:rPr>
        <w:t>1</w:t>
      </w:r>
      <w:r>
        <w:rPr>
          <w:b/>
        </w:rPr>
        <w:t>.</w:t>
      </w:r>
      <w:r>
        <w:rPr>
          <w:b/>
          <w:lang w:val="sr-Cyrl-CS"/>
        </w:rPr>
        <w:t xml:space="preserve"> године р</w:t>
      </w:r>
      <w:r>
        <w:rPr>
          <w:b/>
        </w:rPr>
        <w:t>еализо</w:t>
      </w:r>
      <w:r>
        <w:rPr>
          <w:b/>
          <w:lang w:val="sr-Cyrl-CS"/>
        </w:rPr>
        <w:t>вано је укупно</w:t>
      </w:r>
      <w:r>
        <w:rPr>
          <w:b/>
        </w:rPr>
        <w:t xml:space="preserve"> </w:t>
      </w:r>
      <w:r>
        <w:rPr>
          <w:b/>
          <w:lang w:val="sr-Cyrl-RS"/>
        </w:rPr>
        <w:t>11</w:t>
      </w:r>
      <w:r>
        <w:rPr>
          <w:b/>
        </w:rPr>
        <w:t xml:space="preserve"> </w:t>
      </w:r>
      <w:r>
        <w:rPr>
          <w:b/>
          <w:lang w:val="sr-Cyrl-CS"/>
        </w:rPr>
        <w:t>семинара</w:t>
      </w:r>
      <w:r>
        <w:rPr>
          <w:lang w:val="sr-Cyrl-CS"/>
        </w:rPr>
        <w:t>. Р</w:t>
      </w:r>
      <w:r>
        <w:t>еализован</w:t>
      </w:r>
      <w:r>
        <w:rPr>
          <w:lang w:val="sr-Cyrl-CS"/>
        </w:rPr>
        <w:t xml:space="preserve"> је онлајн семинар „Са стресом је лако ако знаш како“ 14.03.2021., онлајн семинар „Дуално образовање-учење кроз рад“ 30.05.2021</w:t>
      </w:r>
      <w:r>
        <w:rPr>
          <w:b/>
          <w:lang w:val="sr-Cyrl-CS"/>
        </w:rPr>
        <w:t>., 5</w:t>
      </w:r>
      <w:r>
        <w:rPr>
          <w:lang w:val="sr-Cyrl-CS"/>
        </w:rPr>
        <w:t xml:space="preserve"> циклуса акредитованог онлајн семинара преко  Центра „Подршка ученику кроз индивидуализацију и пројектни рад у настави математике“ аутора и реализатора Мирјане Кокерић,  одржан је семинар у Регионалном центру Смедерево „Обука за наставу грађанског васпитања“ 26.06.2021. год., семинар у организацији Регионалног центра „Коришћење рачунара за примену ефективније наставе“ 18.09.2021. год., Семинар 2 групе  у сарадњи са Друштвом за српски језик и књижевност Подунавског округа  еминентних предавача „Ка савременој настави српског језика и књижевности 2“ 25.09.2021. год.</w:t>
      </w:r>
    </w:p>
    <w:p>
      <w:pPr>
        <w:ind w:firstLine="720"/>
        <w:jc w:val="both"/>
      </w:pPr>
      <w:r>
        <w:rPr>
          <w:b/>
          <w:lang w:val="sr-Cyrl-CS"/>
        </w:rPr>
        <w:t xml:space="preserve">У извештајном периоду </w:t>
      </w:r>
      <w:r>
        <w:rPr>
          <w:b/>
        </w:rPr>
        <w:t>у</w:t>
      </w:r>
      <w:r>
        <w:rPr>
          <w:b/>
          <w:lang w:val="sr-Cyrl-CS"/>
        </w:rPr>
        <w:t>купно је одржано  156 различитих облика едукација и састанака</w:t>
      </w:r>
      <w:r>
        <w:rPr>
          <w:lang w:val="sr-Cyrl-CS"/>
        </w:rPr>
        <w:t>. Реализоване су следеће активности: р</w:t>
      </w:r>
      <w:r>
        <w:t>адиониц</w:t>
      </w:r>
      <w:r>
        <w:rPr>
          <w:lang w:val="sr-Cyrl-CS"/>
        </w:rPr>
        <w:t>е</w:t>
      </w:r>
      <w:r>
        <w:t xml:space="preserve"> у Научном</w:t>
      </w:r>
      <w:r>
        <w:rPr>
          <w:lang w:val="sr-Cyrl-CS"/>
        </w:rPr>
        <w:t xml:space="preserve"> </w:t>
      </w:r>
      <w:r>
        <w:t>клубу</w:t>
      </w:r>
      <w:r>
        <w:rPr>
          <w:lang w:val="sr-Cyrl-CS"/>
        </w:rPr>
        <w:t xml:space="preserve"> (15)</w:t>
      </w:r>
      <w:r>
        <w:t>,</w:t>
      </w:r>
      <w:r>
        <w:rPr>
          <w:lang w:val="sr-Cyrl-RS"/>
        </w:rPr>
        <w:t xml:space="preserve"> реализована су  3  одобрана пројекта преко Центра за промоцију науке и то:  „У земљином комшилуку“ 22. 10.2021. год. у сарадњи са НК из Рановца, Пројекат „Ко је јурио Гагарина“ завршна радионца 2.12.2021. год. у сарадњи са НК из Кикинде, као и Пројекат „Ванвременски људи“ 13.12.2021. год. у сарадњи са НК из Лесковца, реализована је акредитована онлајн трибина у сарадњи са ЦСУ из Крагујевца на тему „Успешна професионална заједница учења као носилац промене у предшколској установи и школи“ 13.11.2021. год. , </w:t>
      </w:r>
      <w:r>
        <w:t xml:space="preserve"> </w:t>
      </w:r>
      <w:r>
        <w:rPr>
          <w:lang w:val="sr-Cyrl-RS"/>
        </w:rPr>
        <w:t>3</w:t>
      </w:r>
      <w:r>
        <w:rPr>
          <w:lang w:val="sr-Cyrl-CS"/>
        </w:rPr>
        <w:t xml:space="preserve"> </w:t>
      </w:r>
      <w:r>
        <w:t>термина</w:t>
      </w:r>
      <w:r>
        <w:rPr>
          <w:lang w:val="sr-Cyrl-CS"/>
        </w:rPr>
        <w:t xml:space="preserve"> </w:t>
      </w:r>
      <w:r>
        <w:t>консултативне</w:t>
      </w:r>
      <w:r>
        <w:rPr>
          <w:lang w:val="sr-Cyrl-CS"/>
        </w:rPr>
        <w:t xml:space="preserve"> </w:t>
      </w:r>
      <w:r>
        <w:t>наставе</w:t>
      </w:r>
      <w:r>
        <w:rPr>
          <w:lang w:val="sr-Cyrl-CS"/>
        </w:rPr>
        <w:t xml:space="preserve"> </w:t>
      </w:r>
      <w:r>
        <w:t>са</w:t>
      </w:r>
      <w:r>
        <w:rPr>
          <w:lang w:val="sr-Cyrl-CS"/>
        </w:rPr>
        <w:t xml:space="preserve"> </w:t>
      </w:r>
      <w:r>
        <w:t>Високом</w:t>
      </w:r>
      <w:r>
        <w:rPr>
          <w:lang w:val="sr-Cyrl-CS"/>
        </w:rPr>
        <w:t xml:space="preserve"> </w:t>
      </w:r>
      <w:r>
        <w:t>пословном</w:t>
      </w:r>
      <w:r>
        <w:rPr>
          <w:lang w:val="sr-Cyrl-CS"/>
        </w:rPr>
        <w:t xml:space="preserve"> </w:t>
      </w:r>
      <w:r>
        <w:t>школом</w:t>
      </w:r>
      <w:r>
        <w:rPr>
          <w:lang w:val="sr-Cyrl-CS"/>
        </w:rPr>
        <w:t xml:space="preserve"> </w:t>
      </w:r>
      <w:r>
        <w:t>из</w:t>
      </w:r>
      <w:r>
        <w:rPr>
          <w:lang w:val="sr-Cyrl-CS"/>
        </w:rPr>
        <w:t xml:space="preserve"> </w:t>
      </w:r>
      <w:r>
        <w:t>Крушевца</w:t>
      </w:r>
      <w:r>
        <w:rPr>
          <w:lang w:val="sr-Cyrl-CS"/>
        </w:rPr>
        <w:t xml:space="preserve">, </w:t>
      </w:r>
      <w:r>
        <w:t>сарадња</w:t>
      </w:r>
      <w:r>
        <w:rPr>
          <w:lang w:val="sr-Cyrl-CS"/>
        </w:rPr>
        <w:t xml:space="preserve"> </w:t>
      </w:r>
      <w:r>
        <w:t>са</w:t>
      </w:r>
      <w:r>
        <w:rPr>
          <w:lang w:val="sr-Cyrl-CS"/>
        </w:rPr>
        <w:t xml:space="preserve"> </w:t>
      </w:r>
      <w:r>
        <w:t>Агенцијом</w:t>
      </w:r>
      <w:r>
        <w:rPr>
          <w:lang w:val="sr-Cyrl-CS"/>
        </w:rPr>
        <w:t xml:space="preserve"> </w:t>
      </w:r>
      <w:r>
        <w:t>за</w:t>
      </w:r>
      <w:r>
        <w:rPr>
          <w:lang w:val="sr-Cyrl-CS"/>
        </w:rPr>
        <w:t xml:space="preserve"> </w:t>
      </w:r>
      <w:r>
        <w:t>безбедност</w:t>
      </w:r>
      <w:r>
        <w:rPr>
          <w:lang w:val="sr-Cyrl-CS"/>
        </w:rPr>
        <w:t xml:space="preserve"> </w:t>
      </w:r>
      <w:r>
        <w:t>саобраћаја</w:t>
      </w:r>
      <w:r>
        <w:rPr>
          <w:lang w:val="sr-Cyrl-CS"/>
        </w:rPr>
        <w:t xml:space="preserve"> уз </w:t>
      </w:r>
      <w:r>
        <w:t>промо</w:t>
      </w:r>
      <w:r>
        <w:rPr>
          <w:lang w:val="sr-Cyrl-CS"/>
        </w:rPr>
        <w:t>цију и</w:t>
      </w:r>
      <w:r>
        <w:t xml:space="preserve"> обу</w:t>
      </w:r>
      <w:r>
        <w:rPr>
          <w:lang w:val="sr-Cyrl-CS"/>
        </w:rPr>
        <w:t>чавање (</w:t>
      </w:r>
      <w:r>
        <w:rPr>
          <w:b/>
          <w:lang w:val="sr-Cyrl-CS"/>
        </w:rPr>
        <w:t>6</w:t>
      </w:r>
      <w:r>
        <w:rPr>
          <w:lang w:val="sr-Cyrl-CS"/>
        </w:rPr>
        <w:t xml:space="preserve">  циклуса обуке у трајању од по 14 дана)</w:t>
      </w:r>
      <w:r>
        <w:t>,</w:t>
      </w:r>
      <w:r>
        <w:rPr>
          <w:lang w:val="sr-Cyrl-RS"/>
        </w:rPr>
        <w:t xml:space="preserve"> трибина и предавање у организацији Савета за безбедност саобраћаја „Смедерево као пример добре праксе у области безбедности саобраћаја 05.02.2021. год,  Обука Агенције за безбедност саобраћаја која је реализована 26.10.2021. год, Предавање „Обука службеника из институција и организација задужених за безбедност саобраћаја на локалном нивоу о питањима управљања безбедношћу путне инфраструктуре-РИСМ 11.10.2021. год, презентација „Виртуелног саобраћајног полигона“ испоручиоца опреме и представника свих основних школа за обуку ВР наочара  за ученике првог и другог разреда основних школа на територији града Смедерева, те је спроведена и наведена презентација за ученике ОШ „Димитрије Давидовић“ за 9 група у Центру у периоду од 13.12. до 21.12. 2021. год. Настављена је </w:t>
      </w:r>
      <w:r>
        <w:rPr>
          <w:lang w:val="sr-Cyrl-CS"/>
        </w:rPr>
        <w:t xml:space="preserve"> </w:t>
      </w:r>
      <w:r>
        <w:t>сарадња</w:t>
      </w:r>
      <w:r>
        <w:rPr>
          <w:lang w:val="sr-Cyrl-CS"/>
        </w:rPr>
        <w:t xml:space="preserve"> </w:t>
      </w:r>
      <w:r>
        <w:t>са</w:t>
      </w:r>
      <w:r>
        <w:rPr>
          <w:lang w:val="sr-Cyrl-CS"/>
        </w:rPr>
        <w:t xml:space="preserve"> </w:t>
      </w:r>
      <w:r>
        <w:t>Националном</w:t>
      </w:r>
      <w:r>
        <w:rPr>
          <w:lang w:val="sr-Cyrl-CS"/>
        </w:rPr>
        <w:t xml:space="preserve"> </w:t>
      </w:r>
      <w:r>
        <w:t>академијом</w:t>
      </w:r>
      <w:r>
        <w:rPr>
          <w:lang w:val="sr-Cyrl-CS"/>
        </w:rPr>
        <w:t xml:space="preserve"> </w:t>
      </w:r>
      <w:r>
        <w:t>за</w:t>
      </w:r>
      <w:r>
        <w:rPr>
          <w:lang w:val="sr-Cyrl-CS"/>
        </w:rPr>
        <w:t xml:space="preserve"> </w:t>
      </w:r>
      <w:r>
        <w:t>јавну</w:t>
      </w:r>
      <w:r>
        <w:rPr>
          <w:lang w:val="sr-Cyrl-CS"/>
        </w:rPr>
        <w:t xml:space="preserve"> </w:t>
      </w:r>
      <w:r>
        <w:t>управу</w:t>
      </w:r>
      <w:r>
        <w:rPr>
          <w:lang w:val="sr-Cyrl-CS"/>
        </w:rPr>
        <w:t xml:space="preserve"> по добијеној </w:t>
      </w:r>
      <w:r>
        <w:t>акредитациј</w:t>
      </w:r>
      <w:r>
        <w:rPr>
          <w:lang w:val="sr-Cyrl-CS"/>
        </w:rPr>
        <w:t>и</w:t>
      </w:r>
      <w:r>
        <w:rPr>
          <w:lang w:val="sr-Cyrl-RS"/>
        </w:rPr>
        <w:t xml:space="preserve"> и праћење бројних обука од стране запослених у Центру, </w:t>
      </w:r>
      <w:r>
        <w:rPr>
          <w:lang w:val="sr-Cyrl-CS"/>
        </w:rPr>
        <w:t xml:space="preserve"> </w:t>
      </w:r>
      <w:r>
        <w:t>тестирања</w:t>
      </w:r>
      <w:r>
        <w:rPr>
          <w:lang w:val="sr-Cyrl-CS"/>
        </w:rPr>
        <w:t xml:space="preserve"> </w:t>
      </w:r>
      <w:r>
        <w:t>Националне</w:t>
      </w:r>
      <w:r>
        <w:rPr>
          <w:lang w:val="sr-Cyrl-CS"/>
        </w:rPr>
        <w:t xml:space="preserve"> </w:t>
      </w:r>
      <w:r>
        <w:t>службе</w:t>
      </w:r>
      <w:r>
        <w:rPr>
          <w:lang w:val="sr-Cyrl-CS"/>
        </w:rPr>
        <w:t xml:space="preserve"> </w:t>
      </w:r>
      <w:r>
        <w:t>запошљавања</w:t>
      </w:r>
      <w:r>
        <w:rPr>
          <w:lang w:val="sr-Cyrl-CS"/>
        </w:rPr>
        <w:t xml:space="preserve"> </w:t>
      </w:r>
      <w:r>
        <w:t>за</w:t>
      </w:r>
      <w:r>
        <w:rPr>
          <w:lang w:val="sr-Cyrl-CS"/>
        </w:rPr>
        <w:t xml:space="preserve"> </w:t>
      </w:r>
      <w:r>
        <w:t>кадрове у образовању</w:t>
      </w:r>
      <w:r>
        <w:rPr>
          <w:lang w:val="sr-Cyrl-RS"/>
        </w:rPr>
        <w:t xml:space="preserve"> и друге обуке (18 термина),</w:t>
      </w:r>
      <w:r>
        <w:rPr>
          <w:lang w:val="sr-Cyrl-CS"/>
        </w:rPr>
        <w:t xml:space="preserve"> курсеви словеначког јазика (21 термин раздвојени у 2 групе), као и реализација радионице за децу удружења Словенаца „Мартин Крпан“ из Смедерева 16.10.2021. год.,  састанци подружница стручних сарадника који су имали интензиван рад и одржано је 9 састанака, предавање за оспособљавање запослених и полагање стручног испита из области заштите од пожара (27 термина) које је спроводило Добровољно ватрогасно друштво Смедерево, извршено је  предавање  за  недоумице у примени Новог закона о јавним набавкама путем вебинара  и праћењем у просторијама Центра, организована је завршна конференција пројекта „Роминк-инклузија младих Рома на тржиште рада и у заједницу“ 01.03.2021, Седница Парламента привредника Регионалне привредне коморе </w:t>
      </w:r>
      <w:r>
        <w:rPr>
          <w:lang w:val="sr-Cyrl-RS"/>
        </w:rPr>
        <w:t>Б</w:t>
      </w:r>
      <w:r>
        <w:rPr>
          <w:lang w:val="sr-Cyrl-CS"/>
        </w:rPr>
        <w:t>раничевског и Подунавског управног одбора 14.05.2021, Основна обука за рад на ЦНЦ машинама у сарадњи са Техничком школом и школом из Лебана у трајању од 3 дана (21.-23.05.2021).  У организацији Архива Смедерево у  Центру одржана је  и снимана конференција „Осамдесет година од експлозије муниције у Смедеревској тврђави“ 05.06.2021. , одржан је научни скуп „Дунав-мост који  спаја културе“ 22.10.2021. године, одржана су 2 термина стручног саветовања у организацији Архива Смедерева за ствараоце и имаоце архивске грађе и документарног материјала 15.12.2021. године, као и саветовање стручних лица запослених на заштити архивски грађе 17.12.2021. год. Одржан је свечани скуп подружнице за српски језик и књижевност „Снагом знања до звезда и бескраја“ 11.06.2021., одржан је састанак за спровођење завршног испита за ученике основних школа 15.06.2021., састанак Школске управе са директорима школа и предшколске установе 30.08.2021. год., одржан је Актив директора и стручних сарадника предшколских установа Подунавског и Браничевског округа 14.10.2021. год, Скупштина удружења „Чигра“ 15.10.2021. год, припрема за међународно такмичење Економско-трговинске школе 21.09.2021. год., медицинска едукација фармацеута и фармацеутских техничара 14.09.2021. год. , састанци привредних субјеката из нашег града, активности Ротари клуба и сарадња са образовним институцијама-додела награда средњошколцима и расподела дронова школама као  и друге активности. У периоду 26-28.04.2021 у Врњачкој бањи у организацији Мреже РЦ и ЦСУ одржана је пета конференција „Актуелности у образовном систему Републике Србије 3“, као и Скупштина Мреже у јуну месецу, док своје активности Регионални центар реализује и одржавањем седница Управног и Надзорног одбора, као и састанака Мреже РЦ и ЦСУ</w:t>
      </w:r>
      <w:r>
        <w:rPr>
          <w:lang w:val="sr-Latn-RS"/>
        </w:rPr>
        <w:t xml:space="preserve"> </w:t>
      </w:r>
      <w:r>
        <w:rPr>
          <w:lang w:val="sr-Cyrl-RS"/>
        </w:rPr>
        <w:t>и састанцима са представницима Центра за промоцију науке из Београда.</w:t>
      </w:r>
      <w:r>
        <w:rPr>
          <w:lang w:val="sr-Cyrl-CS"/>
        </w:rPr>
        <w:t xml:space="preserve"> У задњем тромесечју поред наведеног одржана је Скупштине синдиката Пошта Србије, Обука о међусекторској сарадњи у превенцији, перцепцији и реаговању на злоупотребу дечјег рада 9.11.2021. год. у организацији Међународне организације рада, у сарадњи са Градом Смедеревом организован је Округли сто о дискриминацији старијих грађана уз присуство Повереника за заштиту равноправности Бранкице Јанковић 29.11.2021. год. где је повереник у сарадњи са Популационим фондом УН представио Посебан извештај о дискриминацији старијих грађана, као и приказ Истраживања о положају старијих жена и њиховом учешћу у политичком и јавном животу у Србији које је реализовало удружење Грађана „Снага пријатељства“ </w:t>
      </w:r>
      <w:r>
        <w:rPr>
          <w:lang w:val="sr-Latn-RS"/>
        </w:rPr>
        <w:t>Amity</w:t>
      </w:r>
      <w:r>
        <w:rPr>
          <w:lang w:val="sr-Cyrl-CS"/>
        </w:rPr>
        <w:t xml:space="preserve"> , састанак Радне групе за координацију републичких инспекција ради примене мера за сузбијање вируса Ковид 19 и начелника 6 управних округа 2.12.2021. год, Скупштина Асоцијације спортских центара Србије 14.12.2021. год., Састанак СИНОСА и представника локалних медија о изради медијске  стратегије 16.12.2021. год., Инфо сесија ЕУ-ПРО Плус програма о јавном позиву за унапређење локалне инфраструктуре 23.12.2021. год, као и други састанци привредника и удружења са територије Града Смедерева.</w:t>
      </w:r>
    </w:p>
    <w:p>
      <w:pPr>
        <w:ind w:firstLine="720"/>
        <w:jc w:val="both"/>
        <w:rPr>
          <w:b/>
          <w:u w:val="single"/>
          <w:lang w:val="sr-Cyrl-RS"/>
        </w:rPr>
      </w:pPr>
      <w:r>
        <w:rPr>
          <w:b/>
          <w:u w:val="single"/>
          <w:lang w:val="sr-Cyrl-RS"/>
        </w:rPr>
        <w:t>Значајне активности се спроводе преко Научног клуба Смедерево који је обележио 5 година рада, а потписан је маја месеца 2021. године Меморандум о сарадњи за наредни петогодишњи период.</w:t>
      </w:r>
    </w:p>
    <w:p>
      <w:pPr>
        <w:ind w:firstLine="720"/>
        <w:jc w:val="both"/>
      </w:pPr>
      <w:r>
        <w:t>У току јануара и марта (22.јануар/03.март</w:t>
      </w:r>
      <w:r>
        <w:rPr>
          <w:lang w:val="sr-Cyrl-RS"/>
        </w:rPr>
        <w:t xml:space="preserve">, </w:t>
      </w:r>
      <w:r>
        <w:t xml:space="preserve">2021.године) одржан је </w:t>
      </w:r>
      <w:r>
        <w:rPr>
          <w:lang w:val="sr-Cyrl-RS"/>
        </w:rPr>
        <w:t>В</w:t>
      </w:r>
      <w:r>
        <w:t>ебинар о научној комуникацији у организацији Центра за промоцију науке, као део активности пројекта SySTEM 2020, који финансира Европска комисија</w:t>
      </w:r>
      <w:r>
        <w:rPr>
          <w:lang w:val="sr-Cyrl-RS"/>
        </w:rPr>
        <w:t xml:space="preserve"> </w:t>
      </w:r>
      <w:r>
        <w:t>у оквиру Horizon 2020 Програма за истраживање и иновационе делатности.</w:t>
      </w:r>
    </w:p>
    <w:p>
      <w:pPr>
        <w:jc w:val="both"/>
      </w:pPr>
      <w:r>
        <w:rPr>
          <w:b/>
        </w:rPr>
        <w:t xml:space="preserve"> </w:t>
      </w:r>
      <w:r>
        <w:rPr>
          <w:b/>
          <w:lang w:val="sr-Cyrl-RS"/>
        </w:rPr>
        <w:tab/>
      </w:r>
      <w:r>
        <w:rPr>
          <w:lang w:val="sr-Cyrl-RS"/>
        </w:rPr>
        <w:t>Н</w:t>
      </w:r>
      <w:r>
        <w:t>аучн</w:t>
      </w:r>
      <w:r>
        <w:rPr>
          <w:lang w:val="sr-Cyrl-RS"/>
        </w:rPr>
        <w:t xml:space="preserve">и </w:t>
      </w:r>
      <w:r>
        <w:t xml:space="preserve">клуб Смедерево </w:t>
      </w:r>
      <w:r>
        <w:rPr>
          <w:lang w:val="sr-Cyrl-RS"/>
        </w:rPr>
        <w:t xml:space="preserve">учествовао је </w:t>
      </w:r>
      <w:r>
        <w:t>на Јавном позиву Центра за промоцију науке,</w:t>
      </w:r>
      <w:r>
        <w:rPr>
          <w:lang w:val="sr-Cyrl-RS"/>
        </w:rPr>
        <w:t xml:space="preserve"> Београд, за доделу средстава за реализацију пројеката промоције и популаризације науке у 20</w:t>
      </w:r>
      <w:r>
        <w:t>21</w:t>
      </w:r>
      <w:r>
        <w:rPr>
          <w:lang w:val="sr-Cyrl-RS"/>
        </w:rPr>
        <w:t>. години</w:t>
      </w:r>
      <w:r>
        <w:rPr>
          <w:b/>
        </w:rPr>
        <w:t>,</w:t>
      </w:r>
      <w:r>
        <w:rPr>
          <w:lang w:val="sr-Cyrl-RS"/>
        </w:rPr>
        <w:t xml:space="preserve"> </w:t>
      </w:r>
      <w:r>
        <w:t>од 06.04.2021. до 23.04.2021. године.</w:t>
      </w:r>
      <w:r>
        <w:rPr>
          <w:lang w:val="sr-Cyrl-RS"/>
        </w:rPr>
        <w:t xml:space="preserve"> У сарадњи са НК Кикинда, НК Смедерево </w:t>
      </w:r>
      <w:r>
        <w:t>je</w:t>
      </w:r>
      <w:r>
        <w:rPr>
          <w:lang w:val="sr-Cyrl-RS"/>
        </w:rPr>
        <w:t xml:space="preserve"> учествовати и  одобрен је  пројекат „Ко је јурио Гагарина?“</w:t>
      </w:r>
    </w:p>
    <w:p>
      <w:pPr>
        <w:ind w:firstLine="720"/>
        <w:jc w:val="both"/>
        <w:rPr>
          <w:lang w:val="sr-Cyrl-RS"/>
        </w:rPr>
      </w:pPr>
      <w:r>
        <w:rPr>
          <w:b/>
        </w:rPr>
        <w:t xml:space="preserve"> </w:t>
      </w:r>
      <w:r>
        <w:rPr>
          <w:lang w:val="sr-Cyrl-RS"/>
        </w:rPr>
        <w:t>Н</w:t>
      </w:r>
      <w:r>
        <w:t>аучн</w:t>
      </w:r>
      <w:r>
        <w:rPr>
          <w:lang w:val="sr-Cyrl-RS"/>
        </w:rPr>
        <w:t xml:space="preserve">и </w:t>
      </w:r>
      <w:r>
        <w:t xml:space="preserve">клуб Смедерево </w:t>
      </w:r>
      <w:r>
        <w:rPr>
          <w:lang w:val="sr-Cyrl-RS"/>
        </w:rPr>
        <w:t xml:space="preserve">учествовао је </w:t>
      </w:r>
      <w:r>
        <w:t xml:space="preserve"> </w:t>
      </w:r>
      <w:r>
        <w:rPr>
          <w:lang w:val="sr-Cyrl-RS"/>
        </w:rPr>
        <w:t xml:space="preserve">и на </w:t>
      </w:r>
      <w:r>
        <w:t xml:space="preserve">Јавном позиву </w:t>
      </w:r>
      <w:r>
        <w:rPr>
          <w:lang w:val="sr-Cyrl-RS"/>
        </w:rPr>
        <w:t xml:space="preserve">Центра за промоцију науке, Београд, </w:t>
      </w:r>
      <w:r>
        <w:t xml:space="preserve">за </w:t>
      </w:r>
      <w:r>
        <w:rPr>
          <w:lang w:val="sr-Cyrl-RS"/>
        </w:rPr>
        <w:t xml:space="preserve">доделу средстава за </w:t>
      </w:r>
      <w:r>
        <w:t xml:space="preserve">Годишњи програм </w:t>
      </w:r>
      <w:r>
        <w:rPr>
          <w:lang w:val="sr-Cyrl-RS"/>
        </w:rPr>
        <w:t>Научног клуба Смедерево</w:t>
      </w:r>
      <w:r>
        <w:t xml:space="preserve"> за 2021</w:t>
      </w:r>
      <w:r>
        <w:rPr>
          <w:lang w:val="sr-Cyrl-RS"/>
        </w:rPr>
        <w:t>/2022.</w:t>
      </w:r>
      <w:r>
        <w:t xml:space="preserve"> годину</w:t>
      </w:r>
      <w:r>
        <w:rPr>
          <w:b/>
        </w:rPr>
        <w:t>.</w:t>
      </w:r>
      <w:r>
        <w:rPr>
          <w:b/>
          <w:lang w:val="sr-Cyrl-RS"/>
        </w:rPr>
        <w:t xml:space="preserve"> </w:t>
      </w:r>
      <w:r>
        <w:rPr>
          <w:lang w:val="sr-Cyrl-RS"/>
        </w:rPr>
        <w:t>Годишњи п</w:t>
      </w:r>
      <w:r>
        <w:t xml:space="preserve">рограм </w:t>
      </w:r>
      <w:r>
        <w:rPr>
          <w:lang w:val="sr-Cyrl-RS"/>
        </w:rPr>
        <w:t xml:space="preserve">Научног клуба Смедерево </w:t>
      </w:r>
      <w:r>
        <w:t>за 2021</w:t>
      </w:r>
      <w:r>
        <w:rPr>
          <w:lang w:val="sr-Cyrl-RS"/>
        </w:rPr>
        <w:t>/2022.</w:t>
      </w:r>
      <w:r>
        <w:t xml:space="preserve"> годину</w:t>
      </w:r>
      <w:r>
        <w:rPr>
          <w:lang w:val="sr-Cyrl-RS"/>
        </w:rPr>
        <w:t xml:space="preserve"> о</w:t>
      </w:r>
      <w:r>
        <w:t xml:space="preserve">добрен </w:t>
      </w:r>
      <w:r>
        <w:rPr>
          <w:lang w:val="sr-Cyrl-RS"/>
        </w:rPr>
        <w:t xml:space="preserve">је </w:t>
      </w:r>
      <w:r>
        <w:t>од стране Центра за промоцију науке</w:t>
      </w:r>
      <w:r>
        <w:rPr>
          <w:lang w:val="sr-Cyrl-RS"/>
        </w:rPr>
        <w:t xml:space="preserve">. Листа Годишњег програма садржи </w:t>
      </w:r>
      <w:r>
        <w:t>6 пројеката</w:t>
      </w:r>
      <w:r>
        <w:rPr>
          <w:lang w:val="sr-Cyrl-RS"/>
        </w:rPr>
        <w:t xml:space="preserve">, који ће бити реализовани у периоду од </w:t>
      </w:r>
      <w:r>
        <w:t>01.09. 202</w:t>
      </w:r>
      <w:r>
        <w:rPr>
          <w:lang w:val="sr-Cyrl-RS"/>
        </w:rPr>
        <w:t>1</w:t>
      </w:r>
      <w:r>
        <w:t>. до 01. 09. 202</w:t>
      </w:r>
      <w:r>
        <w:rPr>
          <w:lang w:val="sr-Cyrl-RS"/>
        </w:rPr>
        <w:t>2</w:t>
      </w:r>
      <w:r>
        <w:t xml:space="preserve">. </w:t>
      </w:r>
      <w:r>
        <w:rPr>
          <w:lang w:val="sr-Cyrl-RS"/>
        </w:rPr>
        <w:t>г</w:t>
      </w:r>
      <w:r>
        <w:t>одине</w:t>
      </w:r>
      <w:r>
        <w:rPr>
          <w:lang w:val="sr-Cyrl-RS"/>
        </w:rPr>
        <w:t>:</w:t>
      </w:r>
    </w:p>
    <w:p>
      <w:pPr>
        <w:jc w:val="both"/>
        <w:rPr>
          <w:rStyle w:val="21"/>
          <w:lang w:val="sr-Cyrl-RS"/>
        </w:rPr>
      </w:pPr>
      <w:r>
        <w:rPr>
          <w:rStyle w:val="21"/>
          <w:lang w:val="sr-Cyrl-RS"/>
        </w:rPr>
        <w:t xml:space="preserve">1. </w:t>
      </w:r>
      <w:r>
        <w:rPr>
          <w:rStyle w:val="21"/>
        </w:rPr>
        <w:t xml:space="preserve">Причање математичке приче, </w:t>
      </w:r>
      <w:r>
        <w:rPr>
          <w:rStyle w:val="20"/>
        </w:rPr>
        <w:t>аутор</w:t>
      </w:r>
      <w:r>
        <w:rPr>
          <w:rStyle w:val="20"/>
          <w:lang w:val="sr-Cyrl-RS"/>
        </w:rPr>
        <w:t>и</w:t>
      </w:r>
      <w:r>
        <w:rPr>
          <w:rStyle w:val="20"/>
        </w:rPr>
        <w:t xml:space="preserve"> и реализатор</w:t>
      </w:r>
      <w:r>
        <w:rPr>
          <w:rStyle w:val="20"/>
          <w:lang w:val="sr-Cyrl-RS"/>
        </w:rPr>
        <w:t>и</w:t>
      </w:r>
      <w:r>
        <w:rPr>
          <w:rStyle w:val="20"/>
        </w:rPr>
        <w:t>: Мирјана Кокерић, Горан Тирнанић</w:t>
      </w:r>
      <w:r>
        <w:rPr>
          <w:rStyle w:val="21"/>
        </w:rPr>
        <w:t>.</w:t>
      </w:r>
    </w:p>
    <w:p>
      <w:pPr>
        <w:jc w:val="both"/>
        <w:rPr>
          <w:rStyle w:val="21"/>
          <w:b w:val="0"/>
        </w:rPr>
      </w:pPr>
      <w:r>
        <w:rPr>
          <w:rStyle w:val="21"/>
        </w:rPr>
        <w:t xml:space="preserve"> </w:t>
      </w:r>
      <w:r>
        <w:rPr>
          <w:rStyle w:val="21"/>
          <w:lang w:val="sr-Cyrl-RS"/>
        </w:rPr>
        <w:t xml:space="preserve">2. </w:t>
      </w:r>
      <w:r>
        <w:rPr>
          <w:rStyle w:val="21"/>
        </w:rPr>
        <w:t>Научна чајанка</w:t>
      </w:r>
      <w:r>
        <w:rPr>
          <w:rStyle w:val="20"/>
        </w:rPr>
        <w:t>, аутори и реализатори: Марина Златановић, Илија Цвијетић</w:t>
      </w:r>
      <w:r>
        <w:rPr>
          <w:rStyle w:val="21"/>
        </w:rPr>
        <w:t xml:space="preserve">. </w:t>
      </w:r>
    </w:p>
    <w:p>
      <w:pPr>
        <w:jc w:val="both"/>
        <w:rPr>
          <w:rStyle w:val="21"/>
          <w:b w:val="0"/>
          <w:lang w:val="sr-Cyrl-RS"/>
        </w:rPr>
      </w:pPr>
      <w:r>
        <w:rPr>
          <w:rStyle w:val="21"/>
          <w:lang w:val="sr-Cyrl-RS"/>
        </w:rPr>
        <w:t xml:space="preserve">3. </w:t>
      </w:r>
      <w:r>
        <w:rPr>
          <w:rStyle w:val="21"/>
        </w:rPr>
        <w:t xml:space="preserve">Средњовековно скривено благо, </w:t>
      </w:r>
      <w:r>
        <w:rPr>
          <w:rStyle w:val="20"/>
        </w:rPr>
        <w:t>аутори и реализатори: Марина Златановић, ИлијаЦвијетић</w:t>
      </w:r>
      <w:r>
        <w:rPr>
          <w:rStyle w:val="21"/>
        </w:rPr>
        <w:t xml:space="preserve">. </w:t>
      </w:r>
    </w:p>
    <w:p>
      <w:pPr>
        <w:jc w:val="both"/>
        <w:rPr>
          <w:rStyle w:val="21"/>
          <w:b w:val="0"/>
          <w:lang w:val="sr-Cyrl-RS"/>
        </w:rPr>
      </w:pPr>
      <w:r>
        <w:rPr>
          <w:rStyle w:val="21"/>
          <w:lang w:val="sr-Cyrl-RS"/>
        </w:rPr>
        <w:t xml:space="preserve">4. </w:t>
      </w:r>
      <w:r>
        <w:rPr>
          <w:rStyle w:val="21"/>
        </w:rPr>
        <w:t xml:space="preserve">Чувај, рециклирај, употреби, </w:t>
      </w:r>
      <w:r>
        <w:rPr>
          <w:rStyle w:val="20"/>
        </w:rPr>
        <w:t>аутори и реализатори: Виолета Станимировић, Војислав</w:t>
      </w:r>
      <w:r>
        <w:rPr>
          <w:rStyle w:val="20"/>
          <w:lang w:val="sr-Cyrl-RS"/>
        </w:rPr>
        <w:t xml:space="preserve"> </w:t>
      </w:r>
      <w:r>
        <w:rPr>
          <w:rStyle w:val="20"/>
        </w:rPr>
        <w:t>Деђански, Миљан Илић, Наташа Голубовић.</w:t>
      </w:r>
      <w:r>
        <w:rPr>
          <w:rStyle w:val="21"/>
        </w:rPr>
        <w:t xml:space="preserve"> </w:t>
      </w:r>
    </w:p>
    <w:p>
      <w:pPr>
        <w:jc w:val="both"/>
        <w:rPr>
          <w:rStyle w:val="20"/>
        </w:rPr>
      </w:pPr>
      <w:r>
        <w:rPr>
          <w:rStyle w:val="21"/>
          <w:lang w:val="sr-Cyrl-RS"/>
        </w:rPr>
        <w:t xml:space="preserve">5. </w:t>
      </w:r>
      <w:r>
        <w:rPr>
          <w:rStyle w:val="21"/>
        </w:rPr>
        <w:t xml:space="preserve">Уплитање, преплитање, </w:t>
      </w:r>
      <w:r>
        <w:rPr>
          <w:rStyle w:val="20"/>
        </w:rPr>
        <w:t>аутор и реализатор: Слађана Доброта</w:t>
      </w:r>
    </w:p>
    <w:p>
      <w:pPr>
        <w:jc w:val="both"/>
        <w:rPr>
          <w:rStyle w:val="20"/>
        </w:rPr>
      </w:pPr>
      <w:r>
        <w:rPr>
          <w:rStyle w:val="21"/>
          <w:lang w:val="sr-Cyrl-RS"/>
        </w:rPr>
        <w:t xml:space="preserve">6. </w:t>
      </w:r>
      <w:r>
        <w:rPr>
          <w:rStyle w:val="21"/>
        </w:rPr>
        <w:t xml:space="preserve">Мали градитељи, </w:t>
      </w:r>
      <w:r>
        <w:rPr>
          <w:rStyle w:val="20"/>
        </w:rPr>
        <w:t>аутор и реализатор: Слађана Доброта</w:t>
      </w:r>
    </w:p>
    <w:p>
      <w:pPr>
        <w:jc w:val="both"/>
        <w:rPr>
          <w:bCs/>
          <w:color w:val="auto"/>
        </w:rPr>
      </w:pPr>
      <w:r>
        <w:rPr>
          <w:b/>
        </w:rPr>
        <w:t xml:space="preserve"> </w:t>
      </w:r>
      <w:r>
        <w:rPr>
          <w:b/>
          <w:lang w:val="sr-Cyrl-RS"/>
        </w:rPr>
        <w:tab/>
      </w:r>
      <w:r>
        <w:rPr>
          <w:b/>
        </w:rPr>
        <w:t xml:space="preserve">Манифестација </w:t>
      </w:r>
      <w:r>
        <w:rPr>
          <w:b/>
          <w:lang w:val="sr-Cyrl-RS"/>
        </w:rPr>
        <w:t>„</w:t>
      </w:r>
      <w:r>
        <w:rPr>
          <w:b/>
        </w:rPr>
        <w:t>Мај месец математике</w:t>
      </w:r>
      <w:r>
        <w:rPr>
          <w:b/>
          <w:lang w:val="sr-Cyrl-RS"/>
        </w:rPr>
        <w:t>“</w:t>
      </w:r>
      <w:r>
        <w:rPr>
          <w:b/>
        </w:rPr>
        <w:t>,</w:t>
      </w:r>
      <w:r>
        <w:t xml:space="preserve"> </w:t>
      </w:r>
      <w:r>
        <w:rPr>
          <w:lang w:val="sr-Cyrl-RS"/>
        </w:rPr>
        <w:t xml:space="preserve">одржана је </w:t>
      </w:r>
      <w:r>
        <w:t xml:space="preserve">од 10.05.2021. до 07.06.2021. године, у оквиру које су </w:t>
      </w:r>
      <w:r>
        <w:rPr>
          <w:lang w:val="sr-Cyrl-RS"/>
        </w:rPr>
        <w:t xml:space="preserve">реализоване </w:t>
      </w:r>
      <w:r>
        <w:t xml:space="preserve">радионице: </w:t>
      </w:r>
    </w:p>
    <w:p>
      <w:pPr>
        <w:jc w:val="both"/>
        <w:rPr>
          <w:bCs/>
          <w:color w:val="auto"/>
        </w:rPr>
      </w:pPr>
      <w:r>
        <w:rPr>
          <w:iCs/>
          <w:color w:val="auto"/>
          <w:lang w:val="sr-Cyrl-RS"/>
        </w:rPr>
        <w:t>1.</w:t>
      </w:r>
      <w:r>
        <w:rPr>
          <w:iCs/>
          <w:color w:val="auto"/>
        </w:rPr>
        <w:t xml:space="preserve"> Цртање</w:t>
      </w:r>
      <w:r>
        <w:rPr>
          <w:iCs/>
          <w:color w:val="auto"/>
          <w:lang w:val="sr-Cyrl-RS"/>
        </w:rPr>
        <w:t xml:space="preserve"> </w:t>
      </w:r>
      <w:r>
        <w:rPr>
          <w:iCs/>
          <w:color w:val="auto"/>
        </w:rPr>
        <w:t>математике, 26.05.2021.; 03.06.2021.;07.06.2021.</w:t>
      </w:r>
      <w:r>
        <w:t xml:space="preserve"> године</w:t>
      </w:r>
    </w:p>
    <w:p>
      <w:pPr>
        <w:jc w:val="both"/>
        <w:rPr>
          <w:bCs/>
          <w:color w:val="auto"/>
        </w:rPr>
      </w:pPr>
      <w:r>
        <w:rPr>
          <w:iCs/>
          <w:color w:val="auto"/>
          <w:lang w:val="sr-Cyrl-RS"/>
        </w:rPr>
        <w:t>2.</w:t>
      </w:r>
      <w:r>
        <w:rPr>
          <w:iCs/>
          <w:color w:val="auto"/>
        </w:rPr>
        <w:t xml:space="preserve"> Доношење</w:t>
      </w:r>
      <w:r>
        <w:rPr>
          <w:iCs/>
          <w:color w:val="auto"/>
          <w:lang w:val="sr-Cyrl-RS"/>
        </w:rPr>
        <w:t xml:space="preserve"> </w:t>
      </w:r>
      <w:r>
        <w:rPr>
          <w:iCs/>
          <w:color w:val="auto"/>
        </w:rPr>
        <w:t>одлука и математика, 20.05.2021.</w:t>
      </w:r>
      <w:r>
        <w:t xml:space="preserve"> године</w:t>
      </w:r>
    </w:p>
    <w:p>
      <w:pPr>
        <w:jc w:val="both"/>
        <w:rPr>
          <w:bCs/>
          <w:color w:val="auto"/>
        </w:rPr>
      </w:pPr>
      <w:r>
        <w:rPr>
          <w:iCs/>
          <w:color w:val="auto"/>
          <w:lang w:val="sr-Cyrl-RS"/>
        </w:rPr>
        <w:t>3.</w:t>
      </w:r>
      <w:r>
        <w:rPr>
          <w:iCs/>
          <w:color w:val="auto"/>
        </w:rPr>
        <w:t xml:space="preserve"> Математичке</w:t>
      </w:r>
      <w:r>
        <w:rPr>
          <w:iCs/>
          <w:color w:val="auto"/>
          <w:lang w:val="sr-Cyrl-RS"/>
        </w:rPr>
        <w:t xml:space="preserve"> </w:t>
      </w:r>
      <w:r>
        <w:rPr>
          <w:iCs/>
          <w:color w:val="auto"/>
        </w:rPr>
        <w:t xml:space="preserve">игре, 13.05.2021. </w:t>
      </w:r>
      <w:r>
        <w:t>године</w:t>
      </w:r>
      <w:r>
        <w:rPr>
          <w:lang w:val="sr-Cyrl-RS"/>
        </w:rPr>
        <w:t>,</w:t>
      </w:r>
      <w:r>
        <w:rPr>
          <w:iCs/>
          <w:color w:val="auto"/>
          <w:lang w:val="sr-Cyrl-RS"/>
        </w:rPr>
        <w:t xml:space="preserve"> </w:t>
      </w:r>
      <w:r>
        <w:rPr>
          <w:iCs/>
          <w:color w:val="auto"/>
        </w:rPr>
        <w:t xml:space="preserve">и </w:t>
      </w:r>
    </w:p>
    <w:p>
      <w:pPr>
        <w:jc w:val="both"/>
        <w:rPr>
          <w:iCs/>
          <w:color w:val="auto"/>
        </w:rPr>
      </w:pPr>
      <w:r>
        <w:rPr>
          <w:iCs/>
          <w:color w:val="auto"/>
          <w:lang w:val="sr-Cyrl-RS"/>
        </w:rPr>
        <w:t xml:space="preserve">4. </w:t>
      </w:r>
      <w:r>
        <w:rPr>
          <w:iCs/>
          <w:color w:val="auto"/>
        </w:rPr>
        <w:t>Занимљива</w:t>
      </w:r>
      <w:r>
        <w:rPr>
          <w:iCs/>
          <w:color w:val="auto"/>
          <w:lang w:val="sr-Cyrl-RS"/>
        </w:rPr>
        <w:t xml:space="preserve"> </w:t>
      </w:r>
      <w:r>
        <w:rPr>
          <w:iCs/>
          <w:color w:val="auto"/>
        </w:rPr>
        <w:t>физика - примене у техници, 13.05.2021.; 20.05.2021.; 23.05.2021. године.</w:t>
      </w:r>
    </w:p>
    <w:p>
      <w:pPr>
        <w:ind w:firstLine="720"/>
        <w:jc w:val="both"/>
        <w:rPr>
          <w:iCs/>
          <w:color w:val="auto"/>
          <w:lang w:val="sr-Cyrl-RS"/>
        </w:rPr>
      </w:pPr>
      <w:r>
        <w:rPr>
          <w:b/>
          <w:iCs/>
          <w:color w:val="auto"/>
        </w:rPr>
        <w:t xml:space="preserve"> </w:t>
      </w:r>
      <w:r>
        <w:rPr>
          <w:lang w:val="sr-Cyrl-RS"/>
        </w:rPr>
        <w:t>Н</w:t>
      </w:r>
      <w:r>
        <w:t>аучн</w:t>
      </w:r>
      <w:r>
        <w:rPr>
          <w:lang w:val="sr-Cyrl-RS"/>
        </w:rPr>
        <w:t xml:space="preserve">и </w:t>
      </w:r>
      <w:r>
        <w:t xml:space="preserve">клуб Смедерево </w:t>
      </w:r>
      <w:r>
        <w:rPr>
          <w:lang w:val="sr-Cyrl-RS"/>
        </w:rPr>
        <w:t xml:space="preserve">учествовао је </w:t>
      </w:r>
      <w:r>
        <w:rPr>
          <w:iCs/>
          <w:color w:val="auto"/>
        </w:rPr>
        <w:t xml:space="preserve">у Јавном позиву Министарства просвете, науке и технолошког развоја, од 04.06. до 18.06.2021.године, за избор организатора, реализатора и програма стручног усавршавања од јавног интереса у 2021. </w:t>
      </w:r>
      <w:r>
        <w:rPr>
          <w:iCs/>
          <w:color w:val="auto"/>
          <w:lang w:val="sr-Cyrl-RS"/>
        </w:rPr>
        <w:t>г</w:t>
      </w:r>
      <w:r>
        <w:rPr>
          <w:iCs/>
          <w:color w:val="auto"/>
        </w:rPr>
        <w:t>одини</w:t>
      </w:r>
      <w:r>
        <w:rPr>
          <w:iCs/>
          <w:color w:val="auto"/>
          <w:lang w:val="sr-Cyrl-RS"/>
        </w:rPr>
        <w:t>.</w:t>
      </w:r>
    </w:p>
    <w:p>
      <w:pPr>
        <w:jc w:val="both"/>
        <w:rPr>
          <w:iCs/>
          <w:color w:val="auto"/>
          <w:lang w:val="sr-Cyrl-RS"/>
        </w:rPr>
      </w:pPr>
      <w:r>
        <w:rPr>
          <w:iCs/>
          <w:color w:val="auto"/>
          <w:lang w:val="sr-Cyrl-RS"/>
        </w:rPr>
        <w:t>Регионални Центар Смедерево аплицирао је у Јавном позиву са 3 пројекта:</w:t>
      </w:r>
    </w:p>
    <w:p>
      <w:pPr>
        <w:jc w:val="both"/>
        <w:rPr>
          <w:iCs/>
          <w:color w:val="auto"/>
          <w:lang w:val="sr-Cyrl-RS"/>
        </w:rPr>
      </w:pPr>
      <w:r>
        <w:rPr>
          <w:iCs/>
          <w:color w:val="auto"/>
          <w:lang w:val="sr-Cyrl-RS"/>
        </w:rPr>
        <w:t>1.</w:t>
      </w:r>
      <w:r>
        <w:rPr>
          <w:lang w:val="sr-Cyrl-RS"/>
        </w:rPr>
        <w:t xml:space="preserve"> </w:t>
      </w:r>
      <w:r>
        <w:rPr>
          <w:iCs/>
          <w:color w:val="auto"/>
          <w:lang w:val="sr-Cyrl-RS"/>
        </w:rPr>
        <w:t>Програм обуке наставника за реализацију пројеката и радионица у области васпитног рада аутори и реализатори: Мирјана Кокерић, Бранка Ранисављевић, Синиша Ћулафић, Вишња Васиљевић</w:t>
      </w:r>
    </w:p>
    <w:p>
      <w:pPr>
        <w:jc w:val="both"/>
        <w:rPr>
          <w:iCs/>
          <w:color w:val="auto"/>
          <w:lang w:val="sr-Cyrl-RS"/>
        </w:rPr>
      </w:pPr>
      <w:r>
        <w:rPr>
          <w:iCs/>
          <w:color w:val="auto"/>
          <w:lang w:val="sr-Cyrl-RS"/>
        </w:rPr>
        <w:t>2. Филм и филмска анимација као иновативно дидактичко средство у курикулуму,    аутори и реализатори: Вито Петровић, Драгана Живковић Скокић</w:t>
      </w:r>
    </w:p>
    <w:p>
      <w:pPr>
        <w:jc w:val="both"/>
        <w:rPr>
          <w:iCs/>
          <w:color w:val="auto"/>
          <w:lang w:val="sr-Cyrl-RS"/>
        </w:rPr>
      </w:pPr>
      <w:r>
        <w:rPr>
          <w:iCs/>
          <w:color w:val="auto"/>
          <w:lang w:val="sr-Cyrl-RS"/>
        </w:rPr>
        <w:t>3. Кад си здрав, све можеш, аутори и реализатори: Биљана Тодоровић, Софиа Миленковић</w:t>
      </w:r>
    </w:p>
    <w:p>
      <w:pPr>
        <w:ind w:firstLine="720"/>
        <w:jc w:val="both"/>
        <w:rPr>
          <w:lang w:val="sr-Cyrl-RS"/>
        </w:rPr>
      </w:pPr>
      <w:r>
        <w:t xml:space="preserve">Листа изабраних организатора, реализатора и програма стручног усавршавања </w:t>
      </w:r>
      <w:r>
        <w:rPr>
          <w:lang w:val="sr-Cyrl-RS"/>
        </w:rPr>
        <w:t xml:space="preserve">је </w:t>
      </w:r>
      <w:r>
        <w:t>објављ</w:t>
      </w:r>
      <w:r>
        <w:rPr>
          <w:lang w:val="sr-Cyrl-RS"/>
        </w:rPr>
        <w:t xml:space="preserve">ена </w:t>
      </w:r>
      <w:r>
        <w:t>на званичној интернет страници Министарства</w:t>
      </w:r>
      <w:r>
        <w:rPr>
          <w:lang w:val="sr-Cyrl-RS"/>
        </w:rPr>
        <w:t>, али наши пројекти нису одобрени, јер је било много пријављених.</w:t>
      </w:r>
    </w:p>
    <w:p>
      <w:pPr>
        <w:ind w:firstLine="720"/>
        <w:jc w:val="both"/>
        <w:rPr>
          <w:bCs/>
          <w:lang w:val="ru-RU"/>
        </w:rPr>
      </w:pPr>
      <w:r>
        <w:rPr>
          <w:lang w:val="sr-Cyrl-RS"/>
        </w:rPr>
        <w:t>У оквиру одобреног годишњег програма рада Научног клуба за период септембар 2021.-септембар 2022. године за који је извршена уплата средстава на Буџет Града Смедерева у износу од 200.000 динара,  одржано је  4 радионица пројекта „Научна чајанка“ и  два предавања како је било предвиђено. Прва радионица и једно од предавања  одржано је  27.09.2021. године . Аутори пројекта су Марина Златановић, наставник економске групе предмета у Економско-трговинској школи у Смедереву и Илија Цвијетић, научни сарадник иновационог центра Хемијског факултета у Београду. Радионици и предавању је присуствовало 50 ученика Медицинско-фармацеуске школе „Света Петка“Смедерево. Друга радионица у оквиру пројекта „Научна чајанка“ одржана је 15.10.2021. год, трећа радионица одржана је 5.11.2021. године, док је завршна радионица и друго планирано предавање у оквиру овог пројекта одржано 30.11.2021. године уз изузетну присутност учесника на радионици и самом предавању.</w:t>
      </w:r>
    </w:p>
    <w:p>
      <w:pPr>
        <w:ind w:firstLine="720"/>
        <w:jc w:val="both"/>
        <w:rPr>
          <w:bCs/>
          <w:lang w:val="ru-RU"/>
        </w:rPr>
      </w:pPr>
      <w:r>
        <w:rPr>
          <w:lang w:val="sr-Cyrl-RS"/>
        </w:rPr>
        <w:t>Прва радионица у оквиру пројекта „Мали градитељи“ одржана је 7.10.2021. године, прва радионица у оквиру пројекта „Чувај, рециклирај, употреби“ одржана је у ОШ “ Доситеј Обрадовић“ у Вранову 4.11.2021. године, док је прва радионица у оквиру пројекта „Уплитање, приплитање“ одржана у центру 1.12.2021. год. што је све у складу са листом годишњег програма који се реализује по датој динамици.</w:t>
      </w:r>
    </w:p>
    <w:p>
      <w:pPr>
        <w:ind w:firstLine="720"/>
        <w:jc w:val="both"/>
        <w:rPr>
          <w:bCs/>
          <w:lang w:val="ru-RU"/>
        </w:rPr>
      </w:pPr>
      <w:r>
        <w:rPr>
          <w:bCs/>
          <w:lang w:val="ru-RU"/>
        </w:rPr>
        <w:t xml:space="preserve"> У оквиру промоције науке у сарадњи са Центром за промоцију науке Београд, обелажава се «Ноћ истраживача», који је по плану за задњи квартал  године, али ове године планирана манифестација се одржала у редукованом програму, те како ЦПН није финансирао ову манифестацију у нашем Центру иста се није реализовала у 2021. години.</w:t>
      </w:r>
    </w:p>
    <w:p>
      <w:pPr>
        <w:jc w:val="both"/>
        <w:rPr>
          <w:bCs/>
          <w:lang w:val="ru-RU"/>
        </w:rPr>
      </w:pPr>
      <w:r>
        <w:rPr>
          <w:bCs/>
          <w:lang w:val="ru-RU"/>
        </w:rPr>
        <w:tab/>
      </w:r>
      <w:r>
        <w:rPr>
          <w:bCs/>
          <w:lang w:val="ru-RU"/>
        </w:rPr>
        <w:t xml:space="preserve">Током 2021. године успешно су реализована  три ПРОГРАМА који су одобрени преко Центра за промоцију науке Београд, док писменом изјавом од стране реализатора програм «Додир Дунава» по јавном позиву из 2019. године није реализован у складу са уговором и анексом  и за наведени програм извршен је повраћај одобрених средстава ЦПН-у  од 88.000 динара у 2021. години. </w:t>
      </w:r>
    </w:p>
    <w:p>
      <w:pPr>
        <w:pStyle w:val="12"/>
        <w:numPr>
          <w:ilvl w:val="0"/>
          <w:numId w:val="3"/>
        </w:numPr>
        <w:jc w:val="both"/>
        <w:rPr>
          <w:bCs/>
          <w:lang w:val="ru-RU"/>
        </w:rPr>
      </w:pPr>
      <w:r>
        <w:rPr>
          <w:bCs/>
          <w:lang w:val="ru-RU"/>
        </w:rPr>
        <w:t>Одржана је завршна радионица у оквиру пројекта «У земљином комшилуку» који се финансирао  по Јавном позиву ЦПН-а у 2020. години у износу од 4.000 динара,  22.10.2021. године у сарадњи са Научним клубом из Рановца</w:t>
      </w:r>
    </w:p>
    <w:p>
      <w:pPr>
        <w:pStyle w:val="12"/>
        <w:numPr>
          <w:ilvl w:val="0"/>
          <w:numId w:val="3"/>
        </w:numPr>
        <w:jc w:val="both"/>
        <w:rPr>
          <w:bCs/>
          <w:lang w:val="ru-RU"/>
        </w:rPr>
      </w:pPr>
      <w:r>
        <w:rPr>
          <w:bCs/>
          <w:lang w:val="ru-RU"/>
        </w:rPr>
        <w:t>Завршна радионица у оквиру пројекта «Ванвременски људи» који се финансирао по Јавном позиву ЦПН-а у 2019. години у износу од 86.000 динара реализован је 13.12.2021. године у сарадњи са Научним клубом из Лесковца</w:t>
      </w:r>
    </w:p>
    <w:p>
      <w:pPr>
        <w:pStyle w:val="12"/>
        <w:numPr>
          <w:ilvl w:val="0"/>
          <w:numId w:val="3"/>
        </w:numPr>
        <w:jc w:val="both"/>
        <w:rPr>
          <w:bCs/>
          <w:lang w:val="ru-RU"/>
        </w:rPr>
      </w:pPr>
      <w:r>
        <w:rPr>
          <w:bCs/>
          <w:lang w:val="ru-RU"/>
        </w:rPr>
        <w:t xml:space="preserve">Завршна радионица у оквиру пројекта «Ко је јурио Гагарина» који се финансирао по Јавном позиву ЦПН-а у 2021. години у износу од 76.500 динара реализован је 2.12.2021. године </w:t>
      </w:r>
    </w:p>
    <w:p>
      <w:pPr>
        <w:jc w:val="both"/>
        <w:rPr>
          <w:bCs/>
          <w:lang w:val="ru-RU"/>
        </w:rPr>
      </w:pPr>
    </w:p>
    <w:p>
      <w:pPr>
        <w:jc w:val="both"/>
        <w:rPr>
          <w:iCs/>
          <w:color w:val="auto"/>
          <w:lang w:val="sr-Cyrl-RS"/>
        </w:rPr>
      </w:pPr>
    </w:p>
    <w:p>
      <w:pPr>
        <w:jc w:val="both"/>
        <w:rPr>
          <w:lang w:val="sr-Cyrl-CS"/>
        </w:rPr>
      </w:pPr>
    </w:p>
    <w:p>
      <w:pPr>
        <w:ind w:firstLine="720"/>
        <w:jc w:val="both"/>
        <w:rPr>
          <w:bCs/>
          <w:lang w:val="sr-Cyrl-RS"/>
        </w:rPr>
      </w:pPr>
      <w:r>
        <w:rPr>
          <w:b/>
          <w:bCs/>
          <w:u w:val="single"/>
          <w:lang w:val="sr-Cyrl-CS"/>
        </w:rPr>
        <w:t>У</w:t>
      </w:r>
      <w:r>
        <w:rPr>
          <w:b/>
          <w:bCs/>
          <w:u w:val="single"/>
        </w:rPr>
        <w:t>купан</w:t>
      </w:r>
      <w:r>
        <w:rPr>
          <w:b/>
          <w:bCs/>
          <w:u w:val="single"/>
          <w:lang w:val="sr-Cyrl-CS"/>
        </w:rPr>
        <w:t xml:space="preserve"> </w:t>
      </w:r>
      <w:r>
        <w:rPr>
          <w:b/>
          <w:bCs/>
          <w:u w:val="single"/>
        </w:rPr>
        <w:t>број</w:t>
      </w:r>
      <w:r>
        <w:rPr>
          <w:b/>
          <w:bCs/>
          <w:u w:val="single"/>
          <w:lang w:val="sr-Cyrl-CS"/>
        </w:rPr>
        <w:t xml:space="preserve"> </w:t>
      </w:r>
      <w:r>
        <w:rPr>
          <w:b/>
          <w:bCs/>
          <w:u w:val="single"/>
        </w:rPr>
        <w:t>укључених</w:t>
      </w:r>
      <w:r>
        <w:rPr>
          <w:b/>
          <w:bCs/>
          <w:u w:val="single"/>
          <w:lang w:val="sr-Cyrl-CS"/>
        </w:rPr>
        <w:t xml:space="preserve"> </w:t>
      </w:r>
      <w:r>
        <w:rPr>
          <w:b/>
          <w:bCs/>
          <w:u w:val="single"/>
        </w:rPr>
        <w:t>појединаца у неформално</w:t>
      </w:r>
      <w:r>
        <w:rPr>
          <w:b/>
          <w:bCs/>
          <w:u w:val="single"/>
          <w:lang w:val="sr-Cyrl-CS"/>
        </w:rPr>
        <w:t xml:space="preserve"> </w:t>
      </w:r>
      <w:r>
        <w:rPr>
          <w:b/>
          <w:bCs/>
          <w:u w:val="single"/>
        </w:rPr>
        <w:t>образовањ</w:t>
      </w:r>
      <w:r>
        <w:rPr>
          <w:b/>
          <w:bCs/>
          <w:u w:val="single"/>
          <w:lang w:val="sr-Cyrl-CS"/>
        </w:rPr>
        <w:t>е одраслих</w:t>
      </w:r>
      <w:r>
        <w:rPr>
          <w:bCs/>
          <w:lang w:val="sr-Cyrl-CS"/>
        </w:rPr>
        <w:t xml:space="preserve"> био је само  4</w:t>
      </w:r>
      <w:r>
        <w:rPr>
          <w:bCs/>
          <w:lang w:val="sr-Cyrl-RS"/>
        </w:rPr>
        <w:t>, јер је ова активност   обустављена.  Регионални центар за професионални развој запослених у образовању нема решење о верификацији надлежног органа у скада са  Законом о образовању одраслих и чланом 39. Закона о националном оквиру квалификација, тј. не поседујемо одобрење и статус јавно признатог организатора активности образовања одраслих, а који се добија од Агенције за квалификације од 5.априла 2019. године, а у складу са Законом о Националном оквиру квалификација Републике Србије („Сл. гласник РС“ 27/18 и 6/20).</w:t>
      </w:r>
    </w:p>
    <w:p>
      <w:pPr>
        <w:jc w:val="both"/>
        <w:rPr>
          <w:bCs/>
          <w:lang w:val="sr-Cyrl-CS"/>
        </w:rPr>
      </w:pPr>
    </w:p>
    <w:p>
      <w:pPr>
        <w:ind w:firstLine="720"/>
        <w:jc w:val="both"/>
        <w:rPr>
          <w:bCs/>
          <w:lang w:val="ru-RU"/>
        </w:rPr>
      </w:pPr>
      <w:r>
        <w:rPr>
          <w:b/>
          <w:bCs/>
          <w:u w:val="single"/>
          <w:lang w:val="ru-RU"/>
        </w:rPr>
        <w:t>Искоришћеност смештајних капацитета</w:t>
      </w:r>
      <w:r>
        <w:rPr>
          <w:bCs/>
          <w:lang w:val="sr-Cyrl-RS"/>
        </w:rPr>
        <w:t>-</w:t>
      </w:r>
      <w:r>
        <w:rPr>
          <w:bCs/>
          <w:lang w:val="sr-Cyrl-CS"/>
        </w:rPr>
        <w:t xml:space="preserve"> у </w:t>
      </w:r>
      <w:r>
        <w:rPr>
          <w:bCs/>
          <w:lang w:val="ru-RU"/>
        </w:rPr>
        <w:t>извештајном периоду за период јануар-</w:t>
      </w:r>
      <w:r>
        <w:rPr>
          <w:bCs/>
          <w:lang w:val="sr-Cyrl-RS"/>
        </w:rPr>
        <w:t>децембар</w:t>
      </w:r>
      <w:r>
        <w:rPr>
          <w:bCs/>
          <w:lang w:val="ru-RU"/>
        </w:rPr>
        <w:t xml:space="preserve"> 2021. </w:t>
      </w:r>
      <w:r>
        <w:rPr>
          <w:bCs/>
        </w:rPr>
        <w:t>г</w:t>
      </w:r>
      <w:r>
        <w:rPr>
          <w:bCs/>
          <w:lang w:val="ru-RU"/>
        </w:rPr>
        <w:t>одине</w:t>
      </w:r>
      <w:r>
        <w:rPr>
          <w:bCs/>
        </w:rPr>
        <w:t>,</w:t>
      </w:r>
      <w:r>
        <w:rPr>
          <w:bCs/>
          <w:lang w:val="ru-RU"/>
        </w:rPr>
        <w:t xml:space="preserve"> реализовано је укупно 2.845 преноћиште, што је највећи број смештаја откако је отворен простор за смештај при Регионалном центру Смедерево (планирање на годишњем нивоу је  1.500 преноћишта).  Велико извршење је резултат сарадње са </w:t>
      </w:r>
      <w:r>
        <w:rPr>
          <w:bCs/>
          <w:lang w:val="sr-Latn-RS"/>
        </w:rPr>
        <w:t xml:space="preserve">PKC Wireng Systems d.o.o. </w:t>
      </w:r>
      <w:r>
        <w:rPr>
          <w:bCs/>
          <w:lang w:val="sr-Cyrl-RS"/>
        </w:rPr>
        <w:t>из Смедерева који је смештај обезбеђивао  за своје сараднике из других земаља који су у Смедереву на обуци (радници из Пољске, Русије и Мексика) који је трајао и по неколико месеци за поједине групе,  као и смештај у организацији Рукометног  и Одбојкашког клуба Смедерево за такмичења и сусрете у нашем граду, као и смештај за Стрељачко удружење Смедерево, аматерско позориште Патос, такмичење Музичких школа, организација и смештај писаца за Смедеревску песничку јесен, што је већ пракса уназат годинама.</w:t>
      </w:r>
    </w:p>
    <w:p>
      <w:pPr>
        <w:ind w:left="720"/>
        <w:jc w:val="both"/>
        <w:rPr>
          <w:lang w:val="sr-Cyrl-CS"/>
        </w:rPr>
      </w:pPr>
    </w:p>
    <w:p>
      <w:pPr>
        <w:ind w:firstLine="720"/>
        <w:jc w:val="both"/>
        <w:rPr>
          <w:bCs/>
          <w:lang w:val="sr-Cyrl-RS"/>
        </w:rPr>
      </w:pPr>
    </w:p>
    <w:p>
      <w:pPr>
        <w:jc w:val="both"/>
        <w:rPr>
          <w:lang w:val="sr-Cyrl-CS"/>
        </w:rPr>
      </w:pPr>
    </w:p>
    <w:tbl>
      <w:tblPr>
        <w:tblStyle w:val="3"/>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3402"/>
        <w:gridCol w:w="1418"/>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2410" w:type="dxa"/>
            <w:tcBorders>
              <w:top w:val="single" w:color="000000" w:sz="4" w:space="0"/>
              <w:left w:val="single" w:color="000000" w:sz="4" w:space="0"/>
              <w:bottom w:val="nil"/>
              <w:right w:val="single" w:color="000000" w:sz="4" w:space="0"/>
            </w:tcBorders>
          </w:tcPr>
          <w:p>
            <w:pPr>
              <w:rPr>
                <w:b/>
                <w:bCs/>
                <w:lang w:val="sr-Cyrl-CS"/>
              </w:rPr>
            </w:pPr>
          </w:p>
          <w:p>
            <w:pPr>
              <w:rPr>
                <w:b/>
                <w:bCs/>
              </w:rPr>
            </w:pPr>
          </w:p>
          <w:p>
            <w:pPr>
              <w:rPr>
                <w:b/>
                <w:bCs/>
                <w:lang w:val="sr-Cyrl-CS"/>
              </w:rPr>
            </w:pPr>
            <w:r>
              <w:rPr>
                <w:b/>
                <w:bCs/>
              </w:rPr>
              <w:t>ЦИЉ</w:t>
            </w:r>
          </w:p>
        </w:tc>
        <w:tc>
          <w:tcPr>
            <w:tcW w:w="3402" w:type="dxa"/>
            <w:tcBorders>
              <w:top w:val="single" w:color="000000" w:sz="4" w:space="0"/>
              <w:left w:val="single" w:color="000000" w:sz="4" w:space="0"/>
              <w:bottom w:val="nil"/>
              <w:right w:val="single" w:color="000000" w:sz="4" w:space="0"/>
            </w:tcBorders>
          </w:tcPr>
          <w:p>
            <w:pPr>
              <w:rPr>
                <w:b/>
                <w:bCs/>
              </w:rPr>
            </w:pPr>
          </w:p>
          <w:p>
            <w:pPr>
              <w:rPr>
                <w:b/>
                <w:bCs/>
              </w:rPr>
            </w:pPr>
          </w:p>
          <w:p>
            <w:pPr>
              <w:rPr>
                <w:b/>
                <w:bCs/>
                <w:lang w:val="sr-Cyrl-CS"/>
              </w:rPr>
            </w:pPr>
            <w:r>
              <w:rPr>
                <w:b/>
                <w:bCs/>
              </w:rPr>
              <w:t>ИНДИКАТОР</w:t>
            </w:r>
            <w:r>
              <w:rPr>
                <w:b/>
                <w:bCs/>
                <w:lang w:val="sr-Cyrl-CS"/>
              </w:rPr>
              <w:t>И</w:t>
            </w:r>
          </w:p>
        </w:tc>
        <w:tc>
          <w:tcPr>
            <w:tcW w:w="1418" w:type="dxa"/>
            <w:tcBorders>
              <w:top w:val="single" w:color="000000" w:sz="4" w:space="0"/>
              <w:left w:val="single" w:color="000000" w:sz="4" w:space="0"/>
              <w:bottom w:val="single" w:color="000000" w:sz="4" w:space="0"/>
              <w:right w:val="single" w:color="000000" w:sz="4" w:space="0"/>
            </w:tcBorders>
          </w:tcPr>
          <w:p>
            <w:r>
              <w:t>Oстварена</w:t>
            </w:r>
          </w:p>
          <w:p>
            <w:pPr>
              <w:rPr>
                <w:lang w:val="sr-Cyrl-RS"/>
              </w:rPr>
            </w:pPr>
            <w:r>
              <w:t>вредност</w:t>
            </w:r>
            <w:r>
              <w:rPr>
                <w:lang w:val="sr-Cyrl-CS"/>
              </w:rPr>
              <w:t xml:space="preserve"> у базној години </w:t>
            </w:r>
            <w:r>
              <w:rPr>
                <w:b/>
                <w:bCs/>
              </w:rPr>
              <w:t>(20</w:t>
            </w:r>
            <w:r>
              <w:rPr>
                <w:b/>
                <w:bCs/>
                <w:lang w:val="sr-Cyrl-RS"/>
              </w:rPr>
              <w:t>20)</w:t>
            </w:r>
          </w:p>
        </w:tc>
        <w:tc>
          <w:tcPr>
            <w:tcW w:w="1417" w:type="dxa"/>
            <w:tcBorders>
              <w:top w:val="single" w:color="000000" w:sz="4" w:space="0"/>
              <w:left w:val="single" w:color="000000" w:sz="4" w:space="0"/>
              <w:bottom w:val="single" w:color="000000" w:sz="4" w:space="0"/>
              <w:right w:val="single" w:color="000000" w:sz="4" w:space="0"/>
            </w:tcBorders>
          </w:tcPr>
          <w:p>
            <w:pPr>
              <w:rPr>
                <w:lang w:val="sr-Cyrl-RS"/>
              </w:rPr>
            </w:pPr>
            <w:r>
              <w:rPr>
                <w:lang w:val="sr-Cyrl-RS"/>
              </w:rPr>
              <w:t xml:space="preserve">Циљана </w:t>
            </w:r>
            <w:r>
              <w:t>вредност</w:t>
            </w:r>
            <w:r>
              <w:rPr>
                <w:lang w:val="sr-Cyrl-CS"/>
              </w:rPr>
              <w:t xml:space="preserve"> </w:t>
            </w:r>
            <w:r>
              <w:rPr>
                <w:b/>
                <w:bCs/>
              </w:rPr>
              <w:t>(202</w:t>
            </w:r>
            <w:r>
              <w:rPr>
                <w:b/>
                <w:bCs/>
                <w:lang w:val="sr-Cyrl-RS"/>
              </w:rPr>
              <w:t>1</w:t>
            </w:r>
            <w:r>
              <w:rPr>
                <w:b/>
                <w:bCs/>
              </w:rPr>
              <w:t>)</w:t>
            </w:r>
          </w:p>
        </w:tc>
        <w:tc>
          <w:tcPr>
            <w:tcW w:w="1560" w:type="dxa"/>
            <w:tcBorders>
              <w:top w:val="single" w:color="000000" w:sz="4" w:space="0"/>
              <w:left w:val="single" w:color="000000" w:sz="4" w:space="0"/>
              <w:bottom w:val="nil"/>
              <w:right w:val="single" w:color="000000" w:sz="4" w:space="0"/>
            </w:tcBorders>
          </w:tcPr>
          <w:p/>
          <w:p>
            <w:pPr>
              <w:rPr>
                <w:b/>
                <w:bCs/>
                <w:lang w:val="sr-Cyrl-CS"/>
              </w:rPr>
            </w:pPr>
            <w:r>
              <w:rPr>
                <w:lang w:val="sr-Cyrl-CS"/>
              </w:rPr>
              <w:t xml:space="preserve">Реализована </w:t>
            </w:r>
            <w:r>
              <w:t>вредност</w:t>
            </w:r>
            <w:r>
              <w:rPr>
                <w:lang w:val="sr-Cyrl-CS"/>
              </w:rPr>
              <w:t xml:space="preserve"> </w:t>
            </w:r>
            <w:r>
              <w:rPr>
                <w:b/>
                <w:bCs/>
                <w:lang w:val="sr-Cyrl-CS"/>
              </w:rPr>
              <w:t xml:space="preserve">за </w:t>
            </w:r>
            <w:r>
              <w:rPr>
                <w:b/>
                <w:bCs/>
              </w:rPr>
              <w:t>12</w:t>
            </w:r>
            <w:r>
              <w:rPr>
                <w:b/>
                <w:bCs/>
                <w:lang w:val="sr-Cyrl-CS"/>
              </w:rPr>
              <w:t xml:space="preserve"> месеци (20</w:t>
            </w:r>
            <w:r>
              <w:rPr>
                <w:b/>
                <w:bCs/>
              </w:rPr>
              <w:t>2</w:t>
            </w:r>
            <w:r>
              <w:rPr>
                <w:b/>
                <w:bCs/>
                <w:lang w:val="sr-Cyrl-RS"/>
              </w:rPr>
              <w:t>1</w:t>
            </w:r>
            <w:r>
              <w:rPr>
                <w:b/>
                <w:bCs/>
                <w:lang w:val="sr-Cyrl-C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2410"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
                <w:bCs/>
              </w:rPr>
            </w:pPr>
            <w:r>
              <w:t>Функционисање</w:t>
            </w:r>
            <w:r>
              <w:rPr>
                <w:lang w:val="sr-Cyrl-CS"/>
              </w:rPr>
              <w:t xml:space="preserve"> </w:t>
            </w:r>
            <w:r>
              <w:rPr>
                <w:bCs/>
              </w:rPr>
              <w:t>Регионалн</w:t>
            </w:r>
            <w:r>
              <w:rPr>
                <w:bCs/>
                <w:lang w:val="sr-Cyrl-CS"/>
              </w:rPr>
              <w:t xml:space="preserve">ог </w:t>
            </w:r>
            <w:r>
              <w:rPr>
                <w:bCs/>
              </w:rPr>
              <w:t>центра</w:t>
            </w:r>
            <w:r>
              <w:rPr>
                <w:bCs/>
                <w:lang w:val="sr-Cyrl-CS"/>
              </w:rPr>
              <w:t xml:space="preserve"> </w:t>
            </w:r>
            <w:r>
              <w:rPr>
                <w:bCs/>
              </w:rPr>
              <w:t>за</w:t>
            </w:r>
            <w:r>
              <w:rPr>
                <w:bCs/>
                <w:lang w:val="sr-Cyrl-CS"/>
              </w:rPr>
              <w:t xml:space="preserve"> </w:t>
            </w:r>
            <w:r>
              <w:rPr>
                <w:bCs/>
              </w:rPr>
              <w:t>професионални</w:t>
            </w:r>
            <w:r>
              <w:rPr>
                <w:bCs/>
                <w:lang w:val="sr-Cyrl-CS"/>
              </w:rPr>
              <w:t xml:space="preserve"> </w:t>
            </w:r>
            <w:r>
              <w:rPr>
                <w:bCs/>
              </w:rPr>
              <w:t>развој</w:t>
            </w:r>
            <w:r>
              <w:rPr>
                <w:bCs/>
                <w:lang w:val="sr-Cyrl-CS"/>
              </w:rPr>
              <w:t xml:space="preserve"> </w:t>
            </w:r>
            <w:r>
              <w:rPr>
                <w:bCs/>
              </w:rPr>
              <w:t>запослених у образовању</w:t>
            </w:r>
          </w:p>
        </w:tc>
        <w:tc>
          <w:tcPr>
            <w:tcW w:w="34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Cs/>
              </w:rPr>
            </w:pPr>
            <w:r>
              <w:rPr>
                <w:bCs/>
                <w:lang w:val="sr-Cyrl-CS"/>
              </w:rPr>
              <w:t>Број с</w:t>
            </w:r>
            <w:r>
              <w:rPr>
                <w:bCs/>
              </w:rPr>
              <w:t>еминар</w:t>
            </w:r>
            <w:r>
              <w:rPr>
                <w:bCs/>
                <w:lang w:val="sr-Cyrl-CS"/>
              </w:rPr>
              <w:t xml:space="preserve">а </w:t>
            </w:r>
            <w:r>
              <w:rPr>
                <w:bCs/>
              </w:rPr>
              <w:t>за</w:t>
            </w:r>
            <w:r>
              <w:rPr>
                <w:bCs/>
                <w:lang w:val="sr-Cyrl-CS"/>
              </w:rPr>
              <w:t xml:space="preserve"> </w:t>
            </w:r>
            <w:r>
              <w:rPr>
                <w:bCs/>
              </w:rPr>
              <w:t>стручно</w:t>
            </w:r>
            <w:r>
              <w:rPr>
                <w:bCs/>
                <w:lang w:val="sr-Cyrl-CS"/>
              </w:rPr>
              <w:t xml:space="preserve"> </w:t>
            </w:r>
            <w:r>
              <w:rPr>
                <w:bCs/>
              </w:rPr>
              <w:t>усавршавање</w:t>
            </w:r>
            <w:r>
              <w:rPr>
                <w:bCs/>
                <w:lang w:val="sr-Cyrl-CS"/>
              </w:rPr>
              <w:t xml:space="preserve"> </w:t>
            </w:r>
            <w:r>
              <w:rPr>
                <w:bCs/>
              </w:rPr>
              <w:t>наставника, васпитача и стручних</w:t>
            </w:r>
            <w:r>
              <w:rPr>
                <w:bCs/>
                <w:lang w:val="sr-Cyrl-CS"/>
              </w:rPr>
              <w:t xml:space="preserve"> </w:t>
            </w:r>
            <w:r>
              <w:rPr>
                <w:bCs/>
              </w:rPr>
              <w:t>сарадника</w:t>
            </w:r>
          </w:p>
        </w:tc>
        <w:tc>
          <w:tcPr>
            <w:tcW w:w="1418" w:type="dxa"/>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bCs/>
                <w:lang w:val="sr-Cyrl-RS"/>
              </w:rPr>
            </w:pPr>
            <w:r>
              <w:rPr>
                <w:b/>
                <w:bCs/>
                <w:lang w:val="sr-Cyrl-RS"/>
              </w:rPr>
              <w:t>30</w:t>
            </w:r>
          </w:p>
        </w:tc>
        <w:tc>
          <w:tcPr>
            <w:tcW w:w="1417" w:type="dxa"/>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Cs/>
                <w:lang w:val="sr-Cyrl-RS"/>
              </w:rPr>
            </w:pPr>
            <w:r>
              <w:rPr>
                <w:b/>
                <w:bCs/>
                <w:lang w:val="sr-Cyrl-RS"/>
              </w:rPr>
              <w:t>52</w:t>
            </w: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bCs/>
                <w:lang w:val="sr-Cyrl-RS"/>
              </w:rPr>
            </w:pPr>
            <w:r>
              <w:rPr>
                <w:b/>
                <w:bCs/>
                <w:lang w:val="sr-Cyrl-RS"/>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2410" w:type="dxa"/>
            <w:vMerge w:val="continue"/>
            <w:tcBorders>
              <w:top w:val="single" w:color="auto" w:sz="4" w:space="0"/>
              <w:left w:val="single" w:color="auto" w:sz="4" w:space="0"/>
              <w:bottom w:val="single" w:color="auto" w:sz="4" w:space="0"/>
              <w:right w:val="single" w:color="auto" w:sz="4" w:space="0"/>
            </w:tcBorders>
            <w:vAlign w:val="center"/>
          </w:tcPr>
          <w:p>
            <w:pPr>
              <w:rPr>
                <w:bCs/>
              </w:rPr>
            </w:pPr>
          </w:p>
        </w:tc>
        <w:tc>
          <w:tcPr>
            <w:tcW w:w="34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lang w:val="sr-Cyrl-CS"/>
              </w:rPr>
            </w:pPr>
            <w:r>
              <w:rPr>
                <w:lang w:val="sr-Cyrl-CS"/>
              </w:rPr>
              <w:t>Број различитих облика  едукације</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95</w:t>
            </w: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pPr>
            <w:r>
              <w:rPr>
                <w:b/>
                <w:lang w:val="sr-Cyrl-RS"/>
              </w:rPr>
              <w:t>18</w:t>
            </w:r>
            <w:r>
              <w:rPr>
                <w:b/>
              </w:rPr>
              <w:t>0</w:t>
            </w: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2410" w:type="dxa"/>
            <w:vMerge w:val="continue"/>
            <w:tcBorders>
              <w:top w:val="single" w:color="auto" w:sz="4" w:space="0"/>
              <w:left w:val="single" w:color="auto" w:sz="4" w:space="0"/>
              <w:bottom w:val="single" w:color="auto" w:sz="4" w:space="0"/>
              <w:right w:val="single" w:color="auto" w:sz="4" w:space="0"/>
            </w:tcBorders>
            <w:vAlign w:val="center"/>
          </w:tcPr>
          <w:p>
            <w:pPr>
              <w:rPr>
                <w:bCs/>
              </w:rPr>
            </w:pPr>
          </w:p>
        </w:tc>
        <w:tc>
          <w:tcPr>
            <w:tcW w:w="34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lang w:val="sr-Cyrl-CS"/>
              </w:rPr>
            </w:pPr>
            <w:r>
              <w:rPr>
                <w:bCs/>
                <w:lang w:val="sr-Cyrl-CS"/>
              </w:rPr>
              <w:t xml:space="preserve"> Број п</w:t>
            </w:r>
            <w:r>
              <w:rPr>
                <w:bCs/>
              </w:rPr>
              <w:t>реноћишт</w:t>
            </w:r>
            <w:r>
              <w:rPr>
                <w:bCs/>
                <w:lang w:val="sr-Cyrl-CS"/>
              </w:rPr>
              <w:t>а</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264</w:t>
            </w: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lang w:val="sr-Cyrl-RS"/>
              </w:rPr>
            </w:pPr>
            <w:r>
              <w:rPr>
                <w:b/>
                <w:lang w:val="sr-Cyrl-RS"/>
              </w:rPr>
              <w:t>1.500</w:t>
            </w: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2.845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rPr>
        <w:tc>
          <w:tcPr>
            <w:tcW w:w="2410" w:type="dxa"/>
            <w:tcBorders>
              <w:top w:val="single" w:color="auto" w:sz="4" w:space="0"/>
              <w:left w:val="single" w:color="auto" w:sz="4" w:space="0"/>
              <w:bottom w:val="single" w:color="auto" w:sz="4" w:space="0"/>
              <w:right w:val="single" w:color="auto" w:sz="4" w:space="0"/>
            </w:tcBorders>
            <w:vAlign w:val="center"/>
          </w:tcPr>
          <w:p>
            <w:pPr>
              <w:rPr>
                <w:bCs/>
              </w:rPr>
            </w:pPr>
            <w:r>
              <w:t>Функционисање</w:t>
            </w:r>
            <w:r>
              <w:rPr>
                <w:lang w:val="sr-Cyrl-CS"/>
              </w:rPr>
              <w:t xml:space="preserve"> </w:t>
            </w:r>
            <w:r>
              <w:rPr>
                <w:bCs/>
              </w:rPr>
              <w:t>Регионалн</w:t>
            </w:r>
            <w:r>
              <w:rPr>
                <w:bCs/>
                <w:lang w:val="sr-Cyrl-CS"/>
              </w:rPr>
              <w:t xml:space="preserve">ог </w:t>
            </w:r>
            <w:r>
              <w:rPr>
                <w:bCs/>
              </w:rPr>
              <w:t>центра</w:t>
            </w:r>
            <w:r>
              <w:rPr>
                <w:bCs/>
                <w:lang w:val="sr-Cyrl-CS"/>
              </w:rPr>
              <w:t xml:space="preserve"> </w:t>
            </w:r>
            <w:r>
              <w:rPr>
                <w:bCs/>
              </w:rPr>
              <w:t>за</w:t>
            </w:r>
            <w:r>
              <w:rPr>
                <w:bCs/>
                <w:lang w:val="sr-Cyrl-CS"/>
              </w:rPr>
              <w:t xml:space="preserve"> </w:t>
            </w:r>
            <w:r>
              <w:rPr>
                <w:bCs/>
              </w:rPr>
              <w:t>професионални</w:t>
            </w:r>
            <w:r>
              <w:rPr>
                <w:bCs/>
                <w:lang w:val="sr-Cyrl-CS"/>
              </w:rPr>
              <w:t xml:space="preserve"> </w:t>
            </w:r>
            <w:r>
              <w:rPr>
                <w:bCs/>
              </w:rPr>
              <w:t>развој</w:t>
            </w:r>
            <w:r>
              <w:rPr>
                <w:bCs/>
                <w:lang w:val="sr-Cyrl-CS"/>
              </w:rPr>
              <w:t xml:space="preserve"> </w:t>
            </w:r>
            <w:r>
              <w:rPr>
                <w:bCs/>
              </w:rPr>
              <w:t>запослених у образовању</w:t>
            </w:r>
          </w:p>
        </w:tc>
        <w:tc>
          <w:tcPr>
            <w:tcW w:w="34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Cs/>
              </w:rPr>
            </w:pPr>
            <w:r>
              <w:rPr>
                <w:bCs/>
                <w:lang w:val="sr-Cyrl-CS"/>
              </w:rPr>
              <w:t xml:space="preserve"> Број </w:t>
            </w:r>
            <w:r>
              <w:rPr>
                <w:bCs/>
              </w:rPr>
              <w:t>Обук</w:t>
            </w:r>
            <w:r>
              <w:rPr>
                <w:bCs/>
                <w:lang w:val="sr-Cyrl-CS"/>
              </w:rPr>
              <w:t>а</w:t>
            </w:r>
            <w:r>
              <w:rPr>
                <w:bCs/>
              </w:rPr>
              <w:t>/курсеви</w:t>
            </w:r>
            <w:r>
              <w:rPr>
                <w:bCs/>
                <w:lang w:val="sr-Cyrl-CS"/>
              </w:rPr>
              <w:t xml:space="preserve"> </w:t>
            </w:r>
            <w:r>
              <w:rPr>
                <w:bCs/>
              </w:rPr>
              <w:t>за</w:t>
            </w:r>
            <w:r>
              <w:rPr>
                <w:bCs/>
                <w:lang w:val="sr-Cyrl-CS"/>
              </w:rPr>
              <w:t xml:space="preserve"> </w:t>
            </w:r>
            <w:r>
              <w:rPr>
                <w:bCs/>
              </w:rPr>
              <w:t>неформално</w:t>
            </w:r>
            <w:r>
              <w:rPr>
                <w:bCs/>
                <w:lang w:val="sr-Cyrl-CS"/>
              </w:rPr>
              <w:t xml:space="preserve"> </w:t>
            </w:r>
            <w:r>
              <w:rPr>
                <w:bCs/>
              </w:rPr>
              <w:t>образовање</w:t>
            </w:r>
            <w:r>
              <w:rPr>
                <w:bCs/>
                <w:lang w:val="sr-Cyrl-CS"/>
              </w:rPr>
              <w:t xml:space="preserve"> </w:t>
            </w:r>
            <w:r>
              <w:rPr>
                <w:bCs/>
              </w:rPr>
              <w:t>одраслих</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41</w:t>
            </w: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lang w:val="sr-Cyrl-RS"/>
              </w:rPr>
            </w:pPr>
            <w:r>
              <w:rPr>
                <w:b/>
                <w:lang w:val="sr-Cyrl-RS"/>
              </w:rPr>
              <w:t>45</w:t>
            </w: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rPr>
            </w:pPr>
            <w:r>
              <w:rPr>
                <w:b/>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2410" w:type="dxa"/>
            <w:tcBorders>
              <w:top w:val="single" w:color="auto" w:sz="4" w:space="0"/>
              <w:left w:val="single" w:color="auto" w:sz="4" w:space="0"/>
              <w:bottom w:val="single" w:color="auto" w:sz="4" w:space="0"/>
              <w:right w:val="single" w:color="auto" w:sz="4" w:space="0"/>
            </w:tcBorders>
            <w:vAlign w:val="center"/>
          </w:tcPr>
          <w:p>
            <w:pPr>
              <w:rPr>
                <w:bCs/>
              </w:rPr>
            </w:pPr>
            <w:r>
              <w:t>Функционисање</w:t>
            </w:r>
            <w:r>
              <w:rPr>
                <w:lang w:val="sr-Cyrl-CS"/>
              </w:rPr>
              <w:t xml:space="preserve"> </w:t>
            </w:r>
            <w:r>
              <w:rPr>
                <w:bCs/>
              </w:rPr>
              <w:t>Регионалн</w:t>
            </w:r>
            <w:r>
              <w:rPr>
                <w:bCs/>
                <w:lang w:val="sr-Cyrl-CS"/>
              </w:rPr>
              <w:t xml:space="preserve">ог </w:t>
            </w:r>
            <w:r>
              <w:rPr>
                <w:bCs/>
              </w:rPr>
              <w:t>центра</w:t>
            </w:r>
            <w:r>
              <w:rPr>
                <w:bCs/>
                <w:lang w:val="sr-Cyrl-CS"/>
              </w:rPr>
              <w:t xml:space="preserve"> </w:t>
            </w:r>
            <w:r>
              <w:rPr>
                <w:bCs/>
              </w:rPr>
              <w:t>за</w:t>
            </w:r>
            <w:r>
              <w:rPr>
                <w:bCs/>
                <w:lang w:val="sr-Cyrl-CS"/>
              </w:rPr>
              <w:t xml:space="preserve"> </w:t>
            </w:r>
            <w:r>
              <w:rPr>
                <w:bCs/>
              </w:rPr>
              <w:t>професионални</w:t>
            </w:r>
            <w:r>
              <w:rPr>
                <w:bCs/>
                <w:lang w:val="sr-Cyrl-CS"/>
              </w:rPr>
              <w:t xml:space="preserve"> </w:t>
            </w:r>
            <w:r>
              <w:rPr>
                <w:bCs/>
              </w:rPr>
              <w:t>развој</w:t>
            </w:r>
            <w:r>
              <w:rPr>
                <w:bCs/>
                <w:lang w:val="sr-Cyrl-CS"/>
              </w:rPr>
              <w:t xml:space="preserve"> </w:t>
            </w:r>
            <w:r>
              <w:rPr>
                <w:bCs/>
              </w:rPr>
              <w:t>запослених у образовању</w:t>
            </w:r>
          </w:p>
        </w:tc>
        <w:tc>
          <w:tcPr>
            <w:tcW w:w="34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Cs/>
                <w:lang w:val="sr-Cyrl-CS"/>
              </w:rPr>
            </w:pPr>
            <w:r>
              <w:rPr>
                <w:bCs/>
                <w:lang w:val="sr-Cyrl-CS"/>
              </w:rPr>
              <w:t>Број догађаја за Ноћ истраживача и других радионица и програма у оквиру Научног клуба</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CS"/>
              </w:rPr>
            </w:pPr>
            <w:r>
              <w:rPr>
                <w:b/>
                <w:lang w:val="sr-Cyrl-CS"/>
              </w:rPr>
              <w:t>39</w:t>
            </w: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lang w:val="sr-Cyrl-RS"/>
              </w:rPr>
            </w:pPr>
            <w:r>
              <w:rPr>
                <w:b/>
                <w:lang w:val="sr-Cyrl-RS"/>
              </w:rPr>
              <w:t>22</w:t>
            </w: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207" w:type="dxa"/>
            <w:gridSpan w:val="5"/>
            <w:tcBorders>
              <w:top w:val="single" w:color="auto" w:sz="4" w:space="0"/>
              <w:left w:val="single" w:color="auto" w:sz="4" w:space="0"/>
              <w:bottom w:val="single" w:color="auto" w:sz="4" w:space="0"/>
              <w:right w:val="single" w:color="auto" w:sz="4" w:space="0"/>
            </w:tcBorders>
            <w:vAlign w:val="center"/>
          </w:tcPr>
          <w:p>
            <w:pPr>
              <w:rPr>
                <w:lang w:val="sr-Cyrl-CS"/>
              </w:rPr>
            </w:pPr>
            <w:r>
              <w:rPr>
                <w:bCs/>
                <w:lang w:val="sr-Cyrl-CS"/>
              </w:rPr>
              <w:t xml:space="preserve">Извор верификације: </w:t>
            </w:r>
            <w:r>
              <w:rPr>
                <w:lang w:val="sr-Cyrl-CS"/>
              </w:rPr>
              <w:t>И</w:t>
            </w:r>
            <w:r>
              <w:t>нтерна</w:t>
            </w:r>
            <w:r>
              <w:rPr>
                <w:lang w:val="sr-Cyrl-CS"/>
              </w:rPr>
              <w:t xml:space="preserve"> </w:t>
            </w:r>
            <w:r>
              <w:t>евиденција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207" w:type="dxa"/>
            <w:gridSpan w:val="5"/>
            <w:tcBorders>
              <w:top w:val="single" w:color="auto" w:sz="4" w:space="0"/>
              <w:left w:val="single" w:color="auto" w:sz="4" w:space="0"/>
              <w:bottom w:val="single" w:color="auto" w:sz="4" w:space="0"/>
              <w:right w:val="single" w:color="auto" w:sz="4" w:space="0"/>
            </w:tcBorders>
            <w:vAlign w:val="center"/>
          </w:tcPr>
          <w:p>
            <w:pPr>
              <w:rPr>
                <w:bCs/>
                <w:lang w:val="sr-Cyrl-CS"/>
              </w:rPr>
            </w:pPr>
            <w:r>
              <w:rPr>
                <w:bCs/>
                <w:lang w:val="sr-Cyrl-CS"/>
              </w:rPr>
              <w:t>Коментар: поједини од планираних индикатора нису  реализовани у очекиваном обиму за извештајни период, што је резултат пандемије Ковида, који је још увек ограничавао рад и број учесника у складу са мерама.</w:t>
            </w:r>
          </w:p>
        </w:tc>
      </w:tr>
    </w:tbl>
    <w:p>
      <w:pPr>
        <w:rPr>
          <w:b/>
          <w:bCs/>
        </w:rPr>
      </w:pPr>
    </w:p>
    <w:p>
      <w:pPr>
        <w:rPr>
          <w:lang w:val="sr-Latn-CS"/>
        </w:rPr>
      </w:pPr>
    </w:p>
    <w:p>
      <w:pPr>
        <w:jc w:val="both"/>
        <w:rPr>
          <w:lang w:val="sr-Cyrl-RS"/>
        </w:rPr>
      </w:pPr>
      <w:r>
        <w:rPr>
          <w:lang w:val="sr-Latn-CS"/>
        </w:rPr>
        <w:tab/>
      </w:r>
    </w:p>
    <w:p>
      <w:pPr>
        <w:pStyle w:val="12"/>
        <w:numPr>
          <w:ilvl w:val="0"/>
          <w:numId w:val="2"/>
        </w:numPr>
        <w:jc w:val="center"/>
        <w:rPr>
          <w:b/>
          <w:u w:val="single"/>
          <w:lang w:val="sr-Cyrl-RS"/>
        </w:rPr>
      </w:pPr>
      <w:r>
        <w:rPr>
          <w:b/>
          <w:u w:val="single"/>
          <w:lang w:val="sr-Cyrl-RS"/>
        </w:rPr>
        <w:t xml:space="preserve"> ИЗВЕШТАЈ О РАДУ УПРАВНОГ И НАДЗОРНОГ ОДБОРА У РЕГИОНАЛНОМ ЦЕНТРУ СМЕДЕРЕВО</w:t>
      </w:r>
    </w:p>
    <w:p>
      <w:pPr>
        <w:jc w:val="both"/>
        <w:rPr>
          <w:lang w:val="sr-Cyrl-RS"/>
        </w:rPr>
      </w:pPr>
      <w:r>
        <w:rPr>
          <w:lang w:val="sr-Cyrl-RS"/>
        </w:rPr>
        <w:t xml:space="preserve">             Решењем Скупштине града Смедерева са 4. седнице одржане 18. децембра 2020. године именован је председник и 6 чланова Управног одбора Регионалног центра за професионални развој запослених у образовању Смедерево, као и председник и  4 члана Надзорног одбора.</w:t>
      </w:r>
    </w:p>
    <w:p>
      <w:pPr>
        <w:jc w:val="both"/>
        <w:rPr>
          <w:lang w:val="sr-Cyrl-RS"/>
        </w:rPr>
      </w:pPr>
    </w:p>
    <w:p>
      <w:pPr>
        <w:jc w:val="both"/>
        <w:rPr>
          <w:lang w:val="sr-Cyrl-RS"/>
        </w:rPr>
      </w:pPr>
      <w:r>
        <w:rPr>
          <w:lang w:val="sr-Cyrl-RS"/>
        </w:rPr>
        <w:tab/>
      </w:r>
      <w:r>
        <w:rPr>
          <w:lang w:val="sr-Cyrl-RS"/>
        </w:rPr>
        <w:t>У 2021. години Управни одбор се састајао 7 пута, док  је Надзорни одбор одржао  1 седницу у току 2021. године.</w:t>
      </w:r>
    </w:p>
    <w:p>
      <w:pPr>
        <w:jc w:val="both"/>
        <w:rPr>
          <w:lang w:val="sr-Cyrl-RS"/>
        </w:rPr>
      </w:pPr>
      <w:r>
        <w:rPr>
          <w:lang w:val="sr-Cyrl-RS"/>
        </w:rPr>
        <w:tab/>
      </w:r>
      <w:r>
        <w:rPr>
          <w:lang w:val="sr-Cyrl-RS"/>
        </w:rPr>
        <w:t>Конститутивна прва седница Управног одбора одржана је 4. фебруара 2021. године и тада је Усвојен Извештај о раду Регионалног центра за 2020. годину, Извештај о финансијском пословању Регионалног цента за 2020. годину, као и Извештај Пописне комисије о извешеном попису за 2020. годину.</w:t>
      </w:r>
    </w:p>
    <w:p>
      <w:pPr>
        <w:jc w:val="both"/>
        <w:rPr>
          <w:lang w:val="sr-Cyrl-RS"/>
        </w:rPr>
      </w:pPr>
      <w:r>
        <w:rPr>
          <w:lang w:val="sr-Cyrl-RS"/>
        </w:rPr>
        <w:tab/>
      </w:r>
      <w:r>
        <w:rPr>
          <w:lang w:val="sr-Cyrl-RS"/>
        </w:rPr>
        <w:t>На седницама Управног и Надзорног одбора одржаних 2. марта 2021. године усвојен је Годишњи финансијски извештај за 2020. годину.</w:t>
      </w:r>
    </w:p>
    <w:p>
      <w:pPr>
        <w:ind w:firstLine="720"/>
        <w:jc w:val="both"/>
        <w:rPr>
          <w:lang w:val="sr-Cyrl-RS"/>
        </w:rPr>
      </w:pPr>
      <w:r>
        <w:rPr>
          <w:lang w:val="sr-Cyrl-RS"/>
        </w:rPr>
        <w:t xml:space="preserve"> На трећој седници Управног одбора која је одржана 30. јуна 2021. године разматране су и усвојене измене и допуне финансијског плана Рагионалног центра за професионални развој запослених у образовању Смедерево за 2021. годину, као и измена и допуна Правилника о раду Регионалног центра.</w:t>
      </w:r>
    </w:p>
    <w:p>
      <w:pPr>
        <w:jc w:val="both"/>
        <w:rPr>
          <w:lang w:val="sr-Cyrl-RS"/>
        </w:rPr>
      </w:pPr>
      <w:r>
        <w:rPr>
          <w:lang w:val="sr-Cyrl-RS"/>
        </w:rPr>
        <w:tab/>
      </w:r>
      <w:r>
        <w:rPr>
          <w:lang w:val="sr-Cyrl-RS"/>
        </w:rPr>
        <w:t>На четвртој седници Управног одбора која је одржана 8. јула 2021. године усвојен је Пословник о раду Управног одбора Регионалног центра, разматран је и усвојен Правилник о ближем уређењу спровођења поступка набавки на које се закон о јавним набавкама не примењује, а разматран ји и усвојен Извештај о извршењу финансијског плана за период јануар-јун 2021. године са учинком за извештајни период.</w:t>
      </w:r>
    </w:p>
    <w:p>
      <w:pPr>
        <w:jc w:val="both"/>
        <w:rPr>
          <w:lang w:val="sr-Cyrl-RS"/>
        </w:rPr>
      </w:pPr>
      <w:r>
        <w:rPr>
          <w:lang w:val="sr-Cyrl-RS"/>
        </w:rPr>
        <w:tab/>
      </w:r>
      <w:r>
        <w:rPr>
          <w:lang w:val="sr-Cyrl-RS"/>
        </w:rPr>
        <w:t>Теме пете седнице Управног одбора која је одржана 2. августа 2021. године биле су измене и допуне Статута Регионалног цента за професионални развој запослених у образовању, као и упознавање Управног одбора са записником просветне инспекције о редовном инспекцијском надзору у Центру који је достављен Центру 9. јула 2021. године са смерницама и обавезама које се односе на запослене, директора и надлежности Управног одбора.</w:t>
      </w:r>
    </w:p>
    <w:p>
      <w:pPr>
        <w:jc w:val="both"/>
        <w:rPr>
          <w:lang w:val="sr-Cyrl-RS"/>
        </w:rPr>
      </w:pPr>
      <w:r>
        <w:rPr>
          <w:lang w:val="sr-Cyrl-RS"/>
        </w:rPr>
        <w:tab/>
      </w:r>
      <w:r>
        <w:rPr>
          <w:lang w:val="sr-Cyrl-RS"/>
        </w:rPr>
        <w:t>На шестој седници Управног одбора Регионалног центра која је одржана 28. септембра 2021. године у циљу припреме другог ребаланса Одлуке о Буџету за 2021. годину разматране су и усвојене измене и допуне финансијског плана Регионалног центра за 2021. годину.</w:t>
      </w:r>
    </w:p>
    <w:p>
      <w:pPr>
        <w:jc w:val="both"/>
        <w:rPr>
          <w:lang w:val="sr-Cyrl-RS"/>
        </w:rPr>
      </w:pPr>
      <w:r>
        <w:rPr>
          <w:lang w:val="sr-Cyrl-RS"/>
        </w:rPr>
        <w:tab/>
      </w:r>
      <w:r>
        <w:rPr>
          <w:lang w:val="sr-Cyrl-RS"/>
        </w:rPr>
        <w:t xml:space="preserve">Седма седница Управног одбора Регионалног центра  одржана је 13. децембра 2021. године и тада је усвојен Програм рада Центра за 2022. годину са финансијским планом за 2022. годину, а све у складу са Одлуком о буџету за 2022. годину, док је тема ове седнице био и предлог за одабир локације за формирање Парка Науке у Смедереву ( том приликом је одбијен предлог ЈП Урбанизам Смедера од 29.11.2021. за понуђену локацију преко пута ОШ Димитрије Давидовић са образложењем зашто локација није адекватна), те је задужена директорка да са главним урбанистом Града Смедерева и стручним лицима ЈП Урбанизам изнађе нову јавну  локацију која је подобна за наведену намену, што је крајем 2021. години и дефинисано и то је локација дворишног простора испред зграде Монопола, где је локација и Регионалног центра. </w:t>
      </w:r>
    </w:p>
    <w:p>
      <w:pPr>
        <w:jc w:val="both"/>
        <w:rPr>
          <w:lang w:val="sr-Cyrl-RS"/>
        </w:rPr>
      </w:pPr>
      <w:r>
        <w:rPr>
          <w:lang w:val="sr-Cyrl-RS"/>
        </w:rPr>
        <w:tab/>
      </w:r>
      <w:r>
        <w:rPr>
          <w:lang w:val="sr-Cyrl-RS"/>
        </w:rPr>
        <w:t>Дефинисањем локације и утврђивањем Програма и финансијског плана за 2022. годину створени су услови за несметан и успешан рад установе у 2022. години.</w:t>
      </w:r>
    </w:p>
    <w:p>
      <w:pPr>
        <w:jc w:val="both"/>
        <w:rPr>
          <w:lang w:val="sr-Cyrl-RS"/>
        </w:rPr>
      </w:pPr>
    </w:p>
    <w:p>
      <w:pPr>
        <w:rPr>
          <w:lang w:val="sr-Cyrl-RS"/>
        </w:rPr>
      </w:pPr>
      <w:r>
        <w:rPr>
          <w:lang w:val="sr-Cyrl-RS"/>
        </w:rPr>
        <w:t xml:space="preserve">                                                                             В.Д. ДИРЕКТОРКА</w:t>
      </w:r>
    </w:p>
    <w:p>
      <w:pPr>
        <w:rPr>
          <w:lang w:val="sr-Cyrl-RS"/>
        </w:rPr>
      </w:pPr>
      <w:r>
        <w:rPr>
          <w:lang w:val="sr-Cyrl-RS"/>
        </w:rPr>
        <w:t xml:space="preserve">                                               ЉИЉАНА ЖИВОТИЋ-ЖИВАНОВИЋ, дипл. економиста</w:t>
      </w:r>
    </w:p>
    <w:sectPr>
      <w:headerReference r:id="rId5" w:type="default"/>
      <w:footerReference r:id="rId6" w:type="default"/>
      <w:pgSz w:w="11907" w:h="16840"/>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953503"/>
      <w:docPartObj>
        <w:docPartGallery w:val="AutoText"/>
      </w:docPartObj>
    </w:sdtPr>
    <w:sdtContent>
      <w:p>
        <w:pPr>
          <w:pStyle w:val="6"/>
          <w:jc w:val="right"/>
        </w:pPr>
        <w:r>
          <w:fldChar w:fldCharType="begin"/>
        </w:r>
        <w:r>
          <w:instrText xml:space="preserve"> PAGE   \* MERGEFORMAT </w:instrText>
        </w:r>
        <w:r>
          <w:fldChar w:fldCharType="separate"/>
        </w:r>
        <w:r>
          <w:t>12</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sr-Cyrl-RS"/>
      </w:rPr>
      <w:t>Регионални центар за професионални развој запослених у образовању Смедерево</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44A94"/>
    <w:multiLevelType w:val="multilevel"/>
    <w:tmpl w:val="39C44A94"/>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
    <w:nsid w:val="43AA1B8F"/>
    <w:multiLevelType w:val="multilevel"/>
    <w:tmpl w:val="43AA1B8F"/>
    <w:lvl w:ilvl="0" w:tentative="0">
      <w:start w:val="1"/>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b w:val="0"/>
        <w:sz w:val="24"/>
        <w:u w:val="none"/>
      </w:rPr>
    </w:lvl>
    <w:lvl w:ilvl="2" w:tentative="0">
      <w:start w:val="1"/>
      <w:numFmt w:val="decimal"/>
      <w:isLgl/>
      <w:lvlText w:val="%1.%2.%3."/>
      <w:lvlJc w:val="left"/>
      <w:pPr>
        <w:ind w:left="1800" w:hanging="720"/>
      </w:pPr>
      <w:rPr>
        <w:rFonts w:hint="default"/>
        <w:b w:val="0"/>
        <w:sz w:val="24"/>
        <w:u w:val="none"/>
      </w:rPr>
    </w:lvl>
    <w:lvl w:ilvl="3" w:tentative="0">
      <w:start w:val="1"/>
      <w:numFmt w:val="decimal"/>
      <w:isLgl/>
      <w:lvlText w:val="%1.%2.%3.%4."/>
      <w:lvlJc w:val="left"/>
      <w:pPr>
        <w:ind w:left="2520" w:hanging="1080"/>
      </w:pPr>
      <w:rPr>
        <w:rFonts w:hint="default"/>
        <w:b w:val="0"/>
        <w:sz w:val="24"/>
        <w:u w:val="none"/>
      </w:rPr>
    </w:lvl>
    <w:lvl w:ilvl="4" w:tentative="0">
      <w:start w:val="1"/>
      <w:numFmt w:val="decimal"/>
      <w:isLgl/>
      <w:lvlText w:val="%1.%2.%3.%4.%5."/>
      <w:lvlJc w:val="left"/>
      <w:pPr>
        <w:ind w:left="2880" w:hanging="1080"/>
      </w:pPr>
      <w:rPr>
        <w:rFonts w:hint="default"/>
        <w:b w:val="0"/>
        <w:sz w:val="24"/>
        <w:u w:val="none"/>
      </w:rPr>
    </w:lvl>
    <w:lvl w:ilvl="5" w:tentative="0">
      <w:start w:val="1"/>
      <w:numFmt w:val="decimal"/>
      <w:isLgl/>
      <w:lvlText w:val="%1.%2.%3.%4.%5.%6."/>
      <w:lvlJc w:val="left"/>
      <w:pPr>
        <w:ind w:left="3600" w:hanging="1440"/>
      </w:pPr>
      <w:rPr>
        <w:rFonts w:hint="default"/>
        <w:b w:val="0"/>
        <w:sz w:val="24"/>
        <w:u w:val="none"/>
      </w:rPr>
    </w:lvl>
    <w:lvl w:ilvl="6" w:tentative="0">
      <w:start w:val="1"/>
      <w:numFmt w:val="decimal"/>
      <w:isLgl/>
      <w:lvlText w:val="%1.%2.%3.%4.%5.%6.%7."/>
      <w:lvlJc w:val="left"/>
      <w:pPr>
        <w:ind w:left="4320" w:hanging="1800"/>
      </w:pPr>
      <w:rPr>
        <w:rFonts w:hint="default"/>
        <w:b w:val="0"/>
        <w:sz w:val="24"/>
        <w:u w:val="none"/>
      </w:rPr>
    </w:lvl>
    <w:lvl w:ilvl="7" w:tentative="0">
      <w:start w:val="1"/>
      <w:numFmt w:val="decimal"/>
      <w:isLgl/>
      <w:lvlText w:val="%1.%2.%3.%4.%5.%6.%7.%8."/>
      <w:lvlJc w:val="left"/>
      <w:pPr>
        <w:ind w:left="4680" w:hanging="1800"/>
      </w:pPr>
      <w:rPr>
        <w:rFonts w:hint="default"/>
        <w:b w:val="0"/>
        <w:sz w:val="24"/>
        <w:u w:val="none"/>
      </w:rPr>
    </w:lvl>
    <w:lvl w:ilvl="8" w:tentative="0">
      <w:start w:val="1"/>
      <w:numFmt w:val="decimal"/>
      <w:isLgl/>
      <w:lvlText w:val="%1.%2.%3.%4.%5.%6.%7.%8.%9."/>
      <w:lvlJc w:val="left"/>
      <w:pPr>
        <w:ind w:left="5400" w:hanging="2160"/>
      </w:pPr>
      <w:rPr>
        <w:rFonts w:hint="default"/>
        <w:b w:val="0"/>
        <w:sz w:val="24"/>
        <w:u w:val="none"/>
      </w:rPr>
    </w:lvl>
  </w:abstractNum>
  <w:abstractNum w:abstractNumId="2">
    <w:nsid w:val="4C0526E7"/>
    <w:multiLevelType w:val="multilevel"/>
    <w:tmpl w:val="4C0526E7"/>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C"/>
    <w:rsid w:val="00002D54"/>
    <w:rsid w:val="0003396E"/>
    <w:rsid w:val="00047A74"/>
    <w:rsid w:val="00080614"/>
    <w:rsid w:val="0008443E"/>
    <w:rsid w:val="000977A8"/>
    <w:rsid w:val="000A6E14"/>
    <w:rsid w:val="000B2C45"/>
    <w:rsid w:val="000C6607"/>
    <w:rsid w:val="000D0E9E"/>
    <w:rsid w:val="000D4342"/>
    <w:rsid w:val="000E0FA9"/>
    <w:rsid w:val="000E1C6B"/>
    <w:rsid w:val="000F0BFE"/>
    <w:rsid w:val="001034B1"/>
    <w:rsid w:val="001570DC"/>
    <w:rsid w:val="00165AD5"/>
    <w:rsid w:val="001960D4"/>
    <w:rsid w:val="001A46FE"/>
    <w:rsid w:val="001C2AB4"/>
    <w:rsid w:val="001D3F1E"/>
    <w:rsid w:val="001D5F4E"/>
    <w:rsid w:val="001D7159"/>
    <w:rsid w:val="00205E65"/>
    <w:rsid w:val="002153C6"/>
    <w:rsid w:val="00233CEE"/>
    <w:rsid w:val="00247345"/>
    <w:rsid w:val="0026021D"/>
    <w:rsid w:val="00262D4A"/>
    <w:rsid w:val="00265E86"/>
    <w:rsid w:val="00266931"/>
    <w:rsid w:val="00275842"/>
    <w:rsid w:val="00280E8E"/>
    <w:rsid w:val="002852B3"/>
    <w:rsid w:val="002A0EB1"/>
    <w:rsid w:val="002B0D85"/>
    <w:rsid w:val="002B49C3"/>
    <w:rsid w:val="002C0EE6"/>
    <w:rsid w:val="002C410E"/>
    <w:rsid w:val="002E3B16"/>
    <w:rsid w:val="002E3B23"/>
    <w:rsid w:val="002E4FA3"/>
    <w:rsid w:val="002E5B0D"/>
    <w:rsid w:val="00300F07"/>
    <w:rsid w:val="0030690C"/>
    <w:rsid w:val="0031355D"/>
    <w:rsid w:val="0031555C"/>
    <w:rsid w:val="00335E59"/>
    <w:rsid w:val="00337696"/>
    <w:rsid w:val="00347666"/>
    <w:rsid w:val="003773B9"/>
    <w:rsid w:val="00393861"/>
    <w:rsid w:val="003A3864"/>
    <w:rsid w:val="003B45CB"/>
    <w:rsid w:val="003D6224"/>
    <w:rsid w:val="003E138F"/>
    <w:rsid w:val="003E4E57"/>
    <w:rsid w:val="00412642"/>
    <w:rsid w:val="00416024"/>
    <w:rsid w:val="00417248"/>
    <w:rsid w:val="00426FA1"/>
    <w:rsid w:val="004310EC"/>
    <w:rsid w:val="00437E08"/>
    <w:rsid w:val="004635D6"/>
    <w:rsid w:val="004A1D16"/>
    <w:rsid w:val="004B4FD0"/>
    <w:rsid w:val="004D69E3"/>
    <w:rsid w:val="004E6C50"/>
    <w:rsid w:val="004F23F9"/>
    <w:rsid w:val="00531A3A"/>
    <w:rsid w:val="0053217F"/>
    <w:rsid w:val="00532FE5"/>
    <w:rsid w:val="0053583E"/>
    <w:rsid w:val="0054133B"/>
    <w:rsid w:val="00547A39"/>
    <w:rsid w:val="00561B85"/>
    <w:rsid w:val="00580FF5"/>
    <w:rsid w:val="005A0703"/>
    <w:rsid w:val="005B242C"/>
    <w:rsid w:val="005C4A25"/>
    <w:rsid w:val="005E36FA"/>
    <w:rsid w:val="00617A2B"/>
    <w:rsid w:val="00625AEB"/>
    <w:rsid w:val="00631CFD"/>
    <w:rsid w:val="00637439"/>
    <w:rsid w:val="006501DC"/>
    <w:rsid w:val="006546FC"/>
    <w:rsid w:val="00687059"/>
    <w:rsid w:val="00690BC5"/>
    <w:rsid w:val="0069152C"/>
    <w:rsid w:val="006A6C78"/>
    <w:rsid w:val="006B4A07"/>
    <w:rsid w:val="006E195D"/>
    <w:rsid w:val="006E5773"/>
    <w:rsid w:val="007054E9"/>
    <w:rsid w:val="00725A48"/>
    <w:rsid w:val="00743B6B"/>
    <w:rsid w:val="0075174B"/>
    <w:rsid w:val="00764D60"/>
    <w:rsid w:val="007723C6"/>
    <w:rsid w:val="00795271"/>
    <w:rsid w:val="007A40A0"/>
    <w:rsid w:val="007B33E2"/>
    <w:rsid w:val="007D44F6"/>
    <w:rsid w:val="007E5F64"/>
    <w:rsid w:val="007F250A"/>
    <w:rsid w:val="007F37FD"/>
    <w:rsid w:val="00814A90"/>
    <w:rsid w:val="00826578"/>
    <w:rsid w:val="008518EB"/>
    <w:rsid w:val="00862976"/>
    <w:rsid w:val="00863FDE"/>
    <w:rsid w:val="00887E44"/>
    <w:rsid w:val="008A4095"/>
    <w:rsid w:val="008C1B72"/>
    <w:rsid w:val="008C23AA"/>
    <w:rsid w:val="008D0C94"/>
    <w:rsid w:val="008D1F58"/>
    <w:rsid w:val="008E1835"/>
    <w:rsid w:val="008E2636"/>
    <w:rsid w:val="008E6612"/>
    <w:rsid w:val="00917E7D"/>
    <w:rsid w:val="009236C2"/>
    <w:rsid w:val="00932633"/>
    <w:rsid w:val="00943835"/>
    <w:rsid w:val="00944FEA"/>
    <w:rsid w:val="009452F9"/>
    <w:rsid w:val="0097553B"/>
    <w:rsid w:val="009830C7"/>
    <w:rsid w:val="00987EA1"/>
    <w:rsid w:val="0099151D"/>
    <w:rsid w:val="009921F9"/>
    <w:rsid w:val="00992971"/>
    <w:rsid w:val="00996B5D"/>
    <w:rsid w:val="009971CA"/>
    <w:rsid w:val="009A2A19"/>
    <w:rsid w:val="009A6CC7"/>
    <w:rsid w:val="009B4DA6"/>
    <w:rsid w:val="009B7828"/>
    <w:rsid w:val="009C41AA"/>
    <w:rsid w:val="009F5F39"/>
    <w:rsid w:val="00A210F0"/>
    <w:rsid w:val="00A270AB"/>
    <w:rsid w:val="00A50B53"/>
    <w:rsid w:val="00A51375"/>
    <w:rsid w:val="00A63A83"/>
    <w:rsid w:val="00A64319"/>
    <w:rsid w:val="00A7531B"/>
    <w:rsid w:val="00AA6BA2"/>
    <w:rsid w:val="00AA75DC"/>
    <w:rsid w:val="00AB1845"/>
    <w:rsid w:val="00AD0EE8"/>
    <w:rsid w:val="00AD3B23"/>
    <w:rsid w:val="00B06DDF"/>
    <w:rsid w:val="00B23681"/>
    <w:rsid w:val="00B261FF"/>
    <w:rsid w:val="00B42071"/>
    <w:rsid w:val="00B43701"/>
    <w:rsid w:val="00B650CE"/>
    <w:rsid w:val="00B81E7B"/>
    <w:rsid w:val="00B86D23"/>
    <w:rsid w:val="00BD4502"/>
    <w:rsid w:val="00BE4334"/>
    <w:rsid w:val="00C01C24"/>
    <w:rsid w:val="00C07AF8"/>
    <w:rsid w:val="00C112B2"/>
    <w:rsid w:val="00C1678E"/>
    <w:rsid w:val="00C16E12"/>
    <w:rsid w:val="00C82F71"/>
    <w:rsid w:val="00C85503"/>
    <w:rsid w:val="00C87D08"/>
    <w:rsid w:val="00CA14D2"/>
    <w:rsid w:val="00CA74CA"/>
    <w:rsid w:val="00CF76A7"/>
    <w:rsid w:val="00D005B2"/>
    <w:rsid w:val="00D15072"/>
    <w:rsid w:val="00D450D2"/>
    <w:rsid w:val="00D479E2"/>
    <w:rsid w:val="00D57050"/>
    <w:rsid w:val="00D6744A"/>
    <w:rsid w:val="00D84484"/>
    <w:rsid w:val="00D94D09"/>
    <w:rsid w:val="00DC0397"/>
    <w:rsid w:val="00DC40FF"/>
    <w:rsid w:val="00DD5E79"/>
    <w:rsid w:val="00DD7A24"/>
    <w:rsid w:val="00DD7DC1"/>
    <w:rsid w:val="00DE505E"/>
    <w:rsid w:val="00DF2786"/>
    <w:rsid w:val="00E34E00"/>
    <w:rsid w:val="00E35B96"/>
    <w:rsid w:val="00E43129"/>
    <w:rsid w:val="00E509C8"/>
    <w:rsid w:val="00E60467"/>
    <w:rsid w:val="00E604A0"/>
    <w:rsid w:val="00E65331"/>
    <w:rsid w:val="00E73470"/>
    <w:rsid w:val="00E74115"/>
    <w:rsid w:val="00E7473C"/>
    <w:rsid w:val="00E76AB5"/>
    <w:rsid w:val="00E81076"/>
    <w:rsid w:val="00E84522"/>
    <w:rsid w:val="00E948AB"/>
    <w:rsid w:val="00EC271D"/>
    <w:rsid w:val="00EC5EE2"/>
    <w:rsid w:val="00ED5273"/>
    <w:rsid w:val="00ED7A9F"/>
    <w:rsid w:val="00EE2367"/>
    <w:rsid w:val="00EE335D"/>
    <w:rsid w:val="00EF736D"/>
    <w:rsid w:val="00F02853"/>
    <w:rsid w:val="00F061E7"/>
    <w:rsid w:val="00F1644F"/>
    <w:rsid w:val="00F24405"/>
    <w:rsid w:val="00F273F6"/>
    <w:rsid w:val="00F65B36"/>
    <w:rsid w:val="00F7007F"/>
    <w:rsid w:val="00F71776"/>
    <w:rsid w:val="00F776C3"/>
    <w:rsid w:val="00F807D8"/>
    <w:rsid w:val="00FA2E0A"/>
    <w:rsid w:val="00FA687B"/>
    <w:rsid w:val="00FB5075"/>
    <w:rsid w:val="00FC54AC"/>
    <w:rsid w:val="00FD3285"/>
    <w:rsid w:val="00FD5D49"/>
    <w:rsid w:val="00FE312A"/>
    <w:rsid w:val="00FF22B4"/>
    <w:rsid w:val="4A911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color w:val="000000"/>
      <w:sz w:val="24"/>
      <w:szCs w:val="24"/>
      <w:lang w:val="en-US" w:eastAsia="sr-Latn-C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uiPriority w:val="99"/>
    <w:rPr>
      <w:rFonts w:ascii="Segoe UI" w:hAnsi="Segoe UI" w:cs="Segoe UI"/>
      <w:sz w:val="18"/>
      <w:szCs w:val="18"/>
    </w:rPr>
  </w:style>
  <w:style w:type="character" w:styleId="5">
    <w:name w:val="Emphasis"/>
    <w:qFormat/>
    <w:uiPriority w:val="0"/>
    <w:rPr>
      <w:i/>
      <w:iCs/>
    </w:rPr>
  </w:style>
  <w:style w:type="paragraph" w:styleId="6">
    <w:name w:val="footer"/>
    <w:basedOn w:val="1"/>
    <w:link w:val="15"/>
    <w:unhideWhenUsed/>
    <w:qFormat/>
    <w:uiPriority w:val="99"/>
    <w:pPr>
      <w:tabs>
        <w:tab w:val="center" w:pos="4680"/>
        <w:tab w:val="right" w:pos="9360"/>
      </w:tabs>
    </w:pPr>
  </w:style>
  <w:style w:type="character" w:styleId="7">
    <w:name w:val="footnote reference"/>
    <w:basedOn w:val="2"/>
    <w:semiHidden/>
    <w:unhideWhenUsed/>
    <w:uiPriority w:val="99"/>
    <w:rPr>
      <w:vertAlign w:val="superscript"/>
    </w:rPr>
  </w:style>
  <w:style w:type="paragraph" w:styleId="8">
    <w:name w:val="footnote text"/>
    <w:basedOn w:val="1"/>
    <w:link w:val="13"/>
    <w:semiHidden/>
    <w:unhideWhenUsed/>
    <w:uiPriority w:val="99"/>
    <w:rPr>
      <w:sz w:val="20"/>
      <w:szCs w:val="20"/>
    </w:rPr>
  </w:style>
  <w:style w:type="paragraph" w:styleId="9">
    <w:name w:val="header"/>
    <w:basedOn w:val="1"/>
    <w:link w:val="14"/>
    <w:unhideWhenUsed/>
    <w:uiPriority w:val="99"/>
    <w:pPr>
      <w:tabs>
        <w:tab w:val="center" w:pos="4680"/>
        <w:tab w:val="right" w:pos="9360"/>
      </w:tabs>
    </w:pPr>
  </w:style>
  <w:style w:type="character" w:styleId="10">
    <w:name w:val="line number"/>
    <w:basedOn w:val="2"/>
    <w:semiHidden/>
    <w:unhideWhenUsed/>
    <w:qFormat/>
    <w:uiPriority w:val="99"/>
  </w:style>
  <w:style w:type="table" w:styleId="11">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Footnote Text Char"/>
    <w:basedOn w:val="2"/>
    <w:link w:val="8"/>
    <w:semiHidden/>
    <w:uiPriority w:val="99"/>
    <w:rPr>
      <w:rFonts w:ascii="Times New Roman" w:hAnsi="Times New Roman" w:eastAsia="Times New Roman" w:cs="Times New Roman"/>
      <w:color w:val="000000"/>
      <w:sz w:val="20"/>
      <w:szCs w:val="20"/>
      <w:lang w:eastAsia="sr-Latn-CS"/>
    </w:rPr>
  </w:style>
  <w:style w:type="character" w:customStyle="1" w:styleId="14">
    <w:name w:val="Header Char"/>
    <w:basedOn w:val="2"/>
    <w:link w:val="9"/>
    <w:qFormat/>
    <w:uiPriority w:val="99"/>
    <w:rPr>
      <w:rFonts w:ascii="Times New Roman" w:hAnsi="Times New Roman" w:eastAsia="Times New Roman" w:cs="Times New Roman"/>
      <w:color w:val="000000"/>
      <w:sz w:val="24"/>
      <w:szCs w:val="24"/>
      <w:lang w:eastAsia="sr-Latn-CS"/>
    </w:rPr>
  </w:style>
  <w:style w:type="character" w:customStyle="1" w:styleId="15">
    <w:name w:val="Footer Char"/>
    <w:basedOn w:val="2"/>
    <w:link w:val="6"/>
    <w:uiPriority w:val="99"/>
    <w:rPr>
      <w:rFonts w:ascii="Times New Roman" w:hAnsi="Times New Roman" w:eastAsia="Times New Roman" w:cs="Times New Roman"/>
      <w:color w:val="000000"/>
      <w:sz w:val="24"/>
      <w:szCs w:val="24"/>
      <w:lang w:eastAsia="sr-Latn-CS"/>
    </w:rPr>
  </w:style>
  <w:style w:type="paragraph" w:styleId="16">
    <w:name w:val="No Spacing"/>
    <w:link w:val="18"/>
    <w:qFormat/>
    <w:uiPriority w:val="1"/>
    <w:pPr>
      <w:spacing w:after="0" w:line="240" w:lineRule="auto"/>
    </w:pPr>
    <w:rPr>
      <w:rFonts w:asciiTheme="minorHAnsi" w:hAnsiTheme="minorHAnsi" w:eastAsiaTheme="minorHAnsi" w:cstheme="minorBidi"/>
      <w:color w:val="44546A" w:themeColor="text2"/>
      <w:sz w:val="20"/>
      <w:szCs w:val="20"/>
      <w:lang w:val="en-US" w:eastAsia="en-US" w:bidi="ar-SA"/>
      <w14:textFill>
        <w14:solidFill>
          <w14:schemeClr w14:val="tx2"/>
        </w14:solidFill>
      </w14:textFill>
    </w:rPr>
  </w:style>
  <w:style w:type="character" w:customStyle="1" w:styleId="17">
    <w:name w:val="Balloon Text Char"/>
    <w:basedOn w:val="2"/>
    <w:link w:val="4"/>
    <w:semiHidden/>
    <w:qFormat/>
    <w:uiPriority w:val="99"/>
    <w:rPr>
      <w:rFonts w:ascii="Segoe UI" w:hAnsi="Segoe UI" w:eastAsia="Times New Roman" w:cs="Segoe UI"/>
      <w:color w:val="000000"/>
      <w:sz w:val="18"/>
      <w:szCs w:val="18"/>
      <w:lang w:eastAsia="sr-Latn-CS"/>
    </w:rPr>
  </w:style>
  <w:style w:type="character" w:customStyle="1" w:styleId="18">
    <w:name w:val="No Spacing Char"/>
    <w:link w:val="16"/>
    <w:locked/>
    <w:uiPriority w:val="1"/>
    <w:rPr>
      <w:color w:val="44546A" w:themeColor="text2"/>
      <w:sz w:val="20"/>
      <w:szCs w:val="20"/>
      <w14:textFill>
        <w14:solidFill>
          <w14:schemeClr w14:val="tx2"/>
        </w14:solidFill>
      </w14:textFill>
    </w:rPr>
  </w:style>
  <w:style w:type="paragraph" w:customStyle="1" w:styleId="19">
    <w:name w:val="Default"/>
    <w:qFormat/>
    <w:uiPriority w:val="0"/>
    <w:pPr>
      <w:autoSpaceDE w:val="0"/>
      <w:autoSpaceDN w:val="0"/>
      <w:adjustRightInd w:val="0"/>
      <w:spacing w:after="0" w:line="240" w:lineRule="auto"/>
    </w:pPr>
    <w:rPr>
      <w:rFonts w:ascii="Calibri" w:hAnsi="Calibri" w:eastAsia="Calibri" w:cs="Calibri"/>
      <w:color w:val="000000"/>
      <w:sz w:val="24"/>
      <w:szCs w:val="24"/>
      <w:lang w:val="en-US" w:eastAsia="en-US" w:bidi="ar-SA"/>
    </w:rPr>
  </w:style>
  <w:style w:type="character" w:customStyle="1" w:styleId="20">
    <w:name w:val="fontstyle01"/>
    <w:qFormat/>
    <w:uiPriority w:val="0"/>
    <w:rPr>
      <w:rFonts w:hint="default" w:ascii="Times New Roman" w:hAnsi="Times New Roman" w:cs="Times New Roman"/>
      <w:color w:val="000000"/>
      <w:sz w:val="24"/>
      <w:szCs w:val="24"/>
    </w:rPr>
  </w:style>
  <w:style w:type="character" w:customStyle="1" w:styleId="21">
    <w:name w:val="fontstyle21"/>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7EFA-3BFE-47F3-8EAF-E9E4C9411798}">
  <ds:schemaRefs/>
</ds:datastoreItem>
</file>

<file path=docProps/app.xml><?xml version="1.0" encoding="utf-8"?>
<Properties xmlns="http://schemas.openxmlformats.org/officeDocument/2006/extended-properties" xmlns:vt="http://schemas.openxmlformats.org/officeDocument/2006/docPropsVTypes">
  <Template>Normal</Template>
  <Pages>12</Pages>
  <Words>5472</Words>
  <Characters>31195</Characters>
  <Lines>259</Lines>
  <Paragraphs>73</Paragraphs>
  <TotalTime>641</TotalTime>
  <ScaleCrop>false</ScaleCrop>
  <LinksUpToDate>false</LinksUpToDate>
  <CharactersWithSpaces>36594</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2022-01-05T12:59:00Z</dcterms:created>
  <dc:creator>Windows User</dc:creator>
  <cp:lastModifiedBy>Korisnik</cp:lastModifiedBy>
  <cp:lastPrinted>2022-01-12T07:29:00Z</cp:lastPrinted>
  <dcterms:modified xsi:type="dcterms:W3CDTF">2022-05-10T06:44:14Z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5F704D349BBA4CC8836C56A72625DBF4</vt:lpwstr>
  </property>
</Properties>
</file>